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5-сентябр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ҳамда «Навоийазот» акциядорлик жамиятларининг РАСМИЙ БАЁНОТИ</w:t>
      </w:r>
    </w:p>
    <w:bookmarkEnd w:id="0"/>
    <w:p w14:paraId="522BF26F" w14:textId="3F0F523B" w:rsidR="00A048F3" w:rsidRDefault="00A048F3">
      <w:pPr>
        <w:rPr>
          <w:sz w:val="28"/>
          <w:szCs w:val="28"/>
          <w:lang w:val="ru-RU"/>
        </w:rPr>
      </w:pPr>
    </w:p>
    <w:tbl>
      <w:tblGrid>
        <w:gridCol/>
      </w:tblGrid>
      <w:tr>
        <w:trPr/>
        <w:tc>
          <w:tcPr>
            <w:noWrap/>
          </w:tcPr>
          <w:p>
            <w:pPr/>
            <w:r>
              <w:rPr/>
              <w:t xml:space="preserve">ОАВ ҳамда ижтимоий тармоқларда “Зарафшон дарёсида яна балиқлар нобуд бўлди, бунга «Навоийазот» ва «Навоий ИЭС» корхоналарининг дарёга ташлайдиган оқова сувлари сабаб бўлиши мумкин” мазмунидаги маълумотлар кенг тарқалмоқда. Ҳолат юзасидан «Ўзкимёсаноат» ҳамда «Навоийазот» АЖлар қуйидагиларни маълум қилади.</w:t>
            </w:r>
          </w:p>
          <w:p>
            <w:pPr/>
            <w:r>
              <w:rPr/>
              <w:t xml:space="preserve">«Навоийазот» АЖ оқова сувлари икки гуруҳга ажратилиши ҳақида кўп бор маълум қилинган. Булар таркиби зарарли бўлган ишлаб чиқариш оқова суви (промышленная канализация) ҳамда тоза ҳисобланадиган ёмғир ва  совитувчи сув тизимларидан ташланадиган сувлардир (промливневая канализация).</w:t>
            </w:r>
          </w:p>
          <w:p>
            <w:pPr/>
            <w:r>
              <w:rPr/>
              <w:t xml:space="preserve">«Навоийазот» АЖда ишлаб чиқаришда ҳосил бўлган зарарли оқова сувлар алоҳида Биокимёвий тозалаш иншоотига юборилади ва у ерда талаб даражасида экологик тозаланиб, биоҳавзаларга ташланади. Иккинчи турдаги зарарли ишлаб чиқариш оқова сувлари шлам йиғувчи ҳавзада йиғилиб қуритилади ҳамда шламлари утилизацияга юборилади. Мазкур иккала жараён ҳам корхонада жиддий назоратга олинган бўлиб, ҳозирги кунда ҳам узлуксиз фаолияти таъминланган.</w:t>
            </w:r>
          </w:p>
          <w:p>
            <w:pPr/>
            <w:r>
              <w:rPr/>
              <w:t xml:space="preserve">«Навоийазот» АЖ ўз иш фаолиятида Ўзбекистон Республикасининг амалдаги қонунлари, фармонлари ҳамда барча меъёрий-ҳуқуқий ҳужжатларидан келиб чиққан ҳолда, корхонанинг атроф-муҳитга зарарли таъсирини камайтириш бўйича мунтазам равишда тизимли ва мақсадли ишларни олиб боради. Шу билан бирга, «Навоийазот» АЖдан атмосферага тарқайдиган чиқиндилар ва оқава сув чиқиндилари корхонанинг экологик таҳлил (санитария) лабораторияси томонидан доимий назоратга олинган. Корхона жойлашган ҳудуд экологиясига таъсирни камайтириш мақсадида «Навоийазот» АЖда атмосфера ва сув омборларига чиқиндиларнинг чиқарилиши, энг муҳими, уларнинг ҳосил бўлишини камайтириш, шунингдек, хомашё ҳамда энергия ресурсларини тежаш мақсадида жорий йилнинг ўзида 2 млрд. сўмдан ортиқ қийматдаги чора-тадбирлар амалга оширилган.</w:t>
            </w:r>
          </w:p>
          <w:p>
            <w:pPr/>
            <w:r>
              <w:rPr/>
              <w:t xml:space="preserve">Бугунги кунда ташланаётган оқова сувларнинг таркибида аммоний бирикмалари аввалги йиллардаги каби кўрсаткичда ва бу Зарафшон дарёсидаги балиқларнинг қирилиб кетишига сабаб бўладиган даражада эмас. Чунки аммоний бирикмалари бир неча йиллардан бери юқори динамикани ташкил қилиб келган, лекин бу ҳолат дарёдаги балиқларга салбий таъсир кўрсатмаган.</w:t>
            </w:r>
          </w:p>
          <w:p>
            <w:pPr/>
            <w:r>
              <w:rPr/>
              <w:t xml:space="preserve">Жорий йилнинг 4 сентябрь куни Зарафшон дарёсида содир бўлган, балиқларнинг нобуд бўлиши билан боғлиқ воқеадан сўнг дарҳол корхонанинг экологик таҳлил (санитария) лабораторияси томонидан дарё суви ва оқова сувлардан намуналар олиниб, лаборатория таҳлиллари ўтказилган бўлиб, улар қуйидаги натижаларни кўрсатди:</w:t>
            </w:r>
          </w:p>
          <w:p>
            <w:pPr/>
            <w:r>
              <w:rPr/>
              <w:t xml:space="preserve"> </w:t>
            </w:r>
          </w:p>
          <w:tbl>
            <w:tblGrid>
              <w:gridCol w:w="2055" w:type="dxa"/>
              <w:gridCol w:w="1380" w:type="dxa"/>
              <w:gridCol w:w="2070" w:type="dxa"/>
              <w:gridCol w:w="1815" w:type="dxa"/>
              <w:gridCol w:w="2070" w:type="dxa"/>
            </w:tblGrid>
            <w:tblPr>
              <w:tblW w:w="9390" w:type="dxa"/>
              <w:tblCellSpacing w:w="0" w:type="dxa"/>
              <w:tblLayout w:type="autofit"/>
              <w:tblBorders>
                <w:top w:val="single" w:sz="15"/>
                <w:left w:val="single" w:sz="15"/>
                <w:right w:val="single" w:sz="15"/>
                <w:bottom w:val="single" w:sz="15"/>
                <w:insideH w:val="single" w:sz="15"/>
                <w:insideV w:val="single" w:sz="15"/>
              </w:tblBorders>
            </w:tblPr>
            <w:tr>
              <w:trPr/>
              <w:tc>
                <w:tcPr>
                  <w:tcW w:w="2055" w:type="dxa"/>
                  <w:noWrap/>
                </w:tcPr>
                <w:p>
                  <w:pPr/>
                  <w:r>
                    <w:rPr/>
                    <w:t xml:space="preserve">			</w:t>
                  </w:r>
                </w:p>
                <w:p>
                  <w:pPr>
                    <w:jc w:val="center"/>
                  </w:pPr>
                  <w:r>
                    <w:rPr>
                      <w:b w:val="1"/>
                      <w:bCs w:val="1"/>
                    </w:rPr>
                    <w:t xml:space="preserve">Та</w:t>
                  </w:r>
                  <w:r>
                    <w:rPr>
                      <w:b w:val="1"/>
                      <w:bCs w:val="1"/>
                    </w:rPr>
                    <w:t xml:space="preserve">ҳ</w:t>
                  </w:r>
                  <w:r>
                    <w:rPr>
                      <w:b w:val="1"/>
                      <w:bCs w:val="1"/>
                    </w:rPr>
                    <w:t xml:space="preserve">лил жойи</w:t>
                  </w:r>
                </w:p>
                <w:p>
                  <w:pPr/>
                  <w:r>
                    <w:rPr/>
                    <w:t xml:space="preserve">			</w:t>
                  </w:r>
                </w:p>
              </w:tc>
              <w:tc>
                <w:tcPr>
                  <w:tcW w:w="1380" w:type="dxa"/>
                  <w:noWrap/>
                </w:tcPr>
                <w:p>
                  <w:pPr/>
                  <w:r>
                    <w:rPr/>
                    <w:t xml:space="preserve">			</w:t>
                  </w:r>
                </w:p>
                <w:p>
                  <w:pPr>
                    <w:jc w:val="center"/>
                  </w:pPr>
                  <w:r>
                    <w:rPr>
                      <w:b w:val="1"/>
                      <w:bCs w:val="1"/>
                    </w:rPr>
                    <w:t xml:space="preserve">Ўлчов бирлиги</w:t>
                  </w:r>
                </w:p>
                <w:p>
                  <w:pPr/>
                  <w:r>
                    <w:rPr/>
                    <w:t xml:space="preserve">			</w:t>
                  </w:r>
                </w:p>
              </w:tc>
              <w:tc>
                <w:tcPr>
                  <w:tcW w:w="2070" w:type="dxa"/>
                  <w:noWrap/>
                </w:tcPr>
                <w:p>
                  <w:pPr/>
                  <w:r>
                    <w:rPr/>
                    <w:t xml:space="preserve">			</w:t>
                  </w:r>
                </w:p>
                <w:p>
                  <w:pPr>
                    <w:jc w:val="center"/>
                  </w:pPr>
                  <w:r>
                    <w:rPr>
                      <w:b w:val="1"/>
                      <w:bCs w:val="1"/>
                    </w:rPr>
                    <w:t xml:space="preserve">«Навоийазот» АЖ 267-қудуқ</w:t>
                  </w:r>
                </w:p>
                <w:p>
                  <w:pPr/>
                  <w:r>
                    <w:rPr/>
                    <w:t xml:space="preserve">			</w:t>
                  </w:r>
                </w:p>
              </w:tc>
              <w:tc>
                <w:tcPr>
                  <w:tcW w:w="1815" w:type="dxa"/>
                  <w:noWrap/>
                </w:tcPr>
                <w:p>
                  <w:pPr/>
                  <w:r>
                    <w:rPr/>
                    <w:t xml:space="preserve">			</w:t>
                  </w:r>
                </w:p>
                <w:p>
                  <w:pPr>
                    <w:jc w:val="center"/>
                  </w:pPr>
                  <w:r>
                    <w:rPr>
                      <w:b w:val="1"/>
                      <w:bCs w:val="1"/>
                    </w:rPr>
                    <w:t xml:space="preserve">Азамат пости</w:t>
                  </w:r>
                </w:p>
                <w:p>
                  <w:pPr/>
                  <w:r>
                    <w:rPr/>
                    <w:t xml:space="preserve">			</w:t>
                  </w:r>
                </w:p>
              </w:tc>
              <w:tc>
                <w:tcPr>
                  <w:tcW w:w="2070" w:type="dxa"/>
                  <w:noWrap/>
                </w:tcPr>
                <w:p>
                  <w:pPr/>
                  <w:r>
                    <w:rPr/>
                    <w:t xml:space="preserve">			</w:t>
                  </w:r>
                </w:p>
                <w:p>
                  <w:pPr>
                    <w:jc w:val="center"/>
                  </w:pPr>
                  <w:r>
                    <w:rPr>
                      <w:b w:val="1"/>
                      <w:bCs w:val="1"/>
                    </w:rPr>
                    <w:t xml:space="preserve">«Навоий ИЭС»</w:t>
                  </w:r>
                  <w:br/>
                  <w:r>
                    <w:rPr>
                      <w:b w:val="1"/>
                      <w:bCs w:val="1"/>
                    </w:rPr>
                    <w:t xml:space="preserve">			(маслоловушка)</w:t>
                  </w:r>
                </w:p>
                <w:p>
                  <w:pPr/>
                  <w:r>
                    <w:rPr/>
                    <w:t xml:space="preserve">			</w:t>
                  </w:r>
                </w:p>
              </w:tc>
            </w:tr>
            <w:tr>
              <w:trPr/>
              <w:tc>
                <w:tcPr>
                  <w:tcW w:w="2055" w:type="dxa"/>
                  <w:noWrap/>
                </w:tcPr>
                <w:p>
                  <w:pPr/>
                  <w:r>
                    <w:rPr/>
                    <w:t xml:space="preserve">			</w:t>
                  </w:r>
                </w:p>
                <w:p>
                  <w:pPr>
                    <w:jc w:val="center"/>
                  </w:pPr>
                  <w:r>
                    <w:rPr/>
                    <w:t xml:space="preserve">PH кўрсаткичи</w:t>
                  </w:r>
                </w:p>
                <w:p>
                  <w:pPr/>
                  <w:r>
                    <w:rPr/>
                    <w:t xml:space="preserve">			</w:t>
                  </w:r>
                </w:p>
              </w:tc>
              <w:tc>
                <w:tcPr>
                  <w:tcW w:w="1380" w:type="dxa"/>
                  <w:noWrap/>
                </w:tcPr>
                <w:p>
                  <w:pPr/>
                  <w:r>
                    <w:rPr/>
                    <w:t xml:space="preserve">			</w:t>
                  </w:r>
                </w:p>
                <w:p>
                  <w:pPr>
                    <w:jc w:val="center"/>
                  </w:pPr>
                  <w:r>
                    <w:rPr/>
                    <w:t xml:space="preserve"> </w:t>
                  </w:r>
                </w:p>
                <w:p>
                  <w:pPr/>
                  <w:r>
                    <w:rPr/>
                    <w:t xml:space="preserve">			</w:t>
                  </w:r>
                </w:p>
              </w:tc>
              <w:tc>
                <w:tcPr>
                  <w:tcW w:w="2070" w:type="dxa"/>
                  <w:noWrap/>
                </w:tcPr>
                <w:p>
                  <w:pPr/>
                  <w:r>
                    <w:rPr/>
                    <w:t xml:space="preserve">			</w:t>
                  </w:r>
                </w:p>
                <w:p>
                  <w:pPr>
                    <w:jc w:val="center"/>
                  </w:pPr>
                  <w:r>
                    <w:rPr/>
                    <w:t xml:space="preserve">7,85</w:t>
                  </w:r>
                </w:p>
                <w:p>
                  <w:pPr/>
                  <w:r>
                    <w:rPr/>
                    <w:t xml:space="preserve">			</w:t>
                  </w:r>
                </w:p>
              </w:tc>
              <w:tc>
                <w:tcPr>
                  <w:tcW w:w="1815" w:type="dxa"/>
                  <w:noWrap/>
                </w:tcPr>
                <w:p>
                  <w:pPr/>
                  <w:r>
                    <w:rPr/>
                    <w:t xml:space="preserve">			</w:t>
                  </w:r>
                </w:p>
                <w:p>
                  <w:pPr>
                    <w:jc w:val="center"/>
                  </w:pPr>
                  <w:r>
                    <w:rPr/>
                    <w:t xml:space="preserve">8,35</w:t>
                  </w:r>
                </w:p>
                <w:p>
                  <w:pPr/>
                  <w:r>
                    <w:rPr/>
                    <w:t xml:space="preserve">			</w:t>
                  </w:r>
                </w:p>
              </w:tc>
              <w:tc>
                <w:tcPr>
                  <w:tcW w:w="2070" w:type="dxa"/>
                  <w:noWrap/>
                </w:tcPr>
                <w:p>
                  <w:pPr/>
                  <w:r>
                    <w:rPr/>
                    <w:t xml:space="preserve">			</w:t>
                  </w:r>
                </w:p>
                <w:p>
                  <w:pPr>
                    <w:jc w:val="center"/>
                  </w:pPr>
                  <w:r>
                    <w:rPr/>
                    <w:t xml:space="preserve">8,5</w:t>
                  </w:r>
                </w:p>
                <w:p>
                  <w:pPr/>
                  <w:r>
                    <w:rPr/>
                    <w:t xml:space="preserve">			</w:t>
                  </w:r>
                </w:p>
              </w:tc>
            </w:tr>
            <w:tr>
              <w:trPr/>
              <w:tc>
                <w:tcPr>
                  <w:tcW w:w="2055" w:type="dxa"/>
                  <w:noWrap/>
                </w:tcPr>
                <w:p>
                  <w:pPr/>
                  <w:r>
                    <w:rPr/>
                    <w:t xml:space="preserve">			</w:t>
                  </w:r>
                </w:p>
                <w:p>
                  <w:pPr>
                    <w:jc w:val="center"/>
                  </w:pPr>
                  <w:r>
                    <w:rPr/>
                    <w:t xml:space="preserve">Сув қаттиқлиги</w:t>
                  </w:r>
                </w:p>
                <w:p>
                  <w:pPr/>
                  <w:r>
                    <w:rPr/>
                    <w:t xml:space="preserve">			</w:t>
                  </w:r>
                </w:p>
              </w:tc>
              <w:tc>
                <w:tcPr>
                  <w:tcW w:w="1380" w:type="dxa"/>
                  <w:noWrap/>
                </w:tcPr>
                <w:p>
                  <w:pPr/>
                  <w:r>
                    <w:rPr/>
                    <w:t xml:space="preserve">			</w:t>
                  </w:r>
                </w:p>
                <w:p>
                  <w:pPr>
                    <w:jc w:val="center"/>
                  </w:pPr>
                  <w:r>
                    <w:rPr/>
                    <w:t xml:space="preserve">мгекв/дм3</w:t>
                  </w:r>
                </w:p>
                <w:p>
                  <w:pPr/>
                  <w:r>
                    <w:rPr/>
                    <w:t xml:space="preserve">			</w:t>
                  </w:r>
                </w:p>
              </w:tc>
              <w:tc>
                <w:tcPr>
                  <w:tcW w:w="2070" w:type="dxa"/>
                  <w:noWrap/>
                </w:tcPr>
                <w:p>
                  <w:pPr/>
                  <w:r>
                    <w:rPr/>
                    <w:t xml:space="preserve">			</w:t>
                  </w:r>
                </w:p>
                <w:p>
                  <w:pPr>
                    <w:jc w:val="center"/>
                  </w:pPr>
                  <w:r>
                    <w:rPr/>
                    <w:t xml:space="preserve">17,6</w:t>
                  </w:r>
                </w:p>
                <w:p>
                  <w:pPr/>
                  <w:r>
                    <w:rPr/>
                    <w:t xml:space="preserve">			</w:t>
                  </w:r>
                </w:p>
              </w:tc>
              <w:tc>
                <w:tcPr>
                  <w:tcW w:w="1815" w:type="dxa"/>
                  <w:noWrap/>
                </w:tcPr>
                <w:p>
                  <w:pPr/>
                  <w:r>
                    <w:rPr/>
                    <w:t xml:space="preserve">			</w:t>
                  </w:r>
                </w:p>
                <w:p>
                  <w:pPr>
                    <w:jc w:val="center"/>
                  </w:pPr>
                  <w:r>
                    <w:rPr/>
                    <w:t xml:space="preserve">15,2</w:t>
                  </w:r>
                </w:p>
                <w:p>
                  <w:pPr/>
                  <w:r>
                    <w:rPr/>
                    <w:t xml:space="preserve">			</w:t>
                  </w:r>
                </w:p>
              </w:tc>
              <w:tc>
                <w:tcPr>
                  <w:tcW w:w="2070" w:type="dxa"/>
                  <w:noWrap/>
                </w:tcPr>
                <w:p>
                  <w:pPr/>
                  <w:r>
                    <w:rPr/>
                    <w:t xml:space="preserve">			</w:t>
                  </w:r>
                </w:p>
                <w:p>
                  <w:pPr>
                    <w:jc w:val="center"/>
                  </w:pPr>
                  <w:r>
                    <w:rPr/>
                    <w:t xml:space="preserve">13,6</w:t>
                  </w:r>
                </w:p>
                <w:p>
                  <w:pPr/>
                  <w:r>
                    <w:rPr/>
                    <w:t xml:space="preserve">			</w:t>
                  </w:r>
                </w:p>
              </w:tc>
            </w:tr>
            <w:tr>
              <w:trPr/>
              <w:tc>
                <w:tcPr>
                  <w:tcW w:w="2055" w:type="dxa"/>
                  <w:noWrap/>
                </w:tcPr>
                <w:p>
                  <w:pPr/>
                  <w:r>
                    <w:rPr/>
                    <w:t xml:space="preserve">			</w:t>
                  </w:r>
                </w:p>
                <w:p>
                  <w:pPr>
                    <w:jc w:val="center"/>
                  </w:pPr>
                  <w:r>
                    <w:rPr/>
                    <w:t xml:space="preserve">Хлоридлар</w:t>
                  </w:r>
                </w:p>
                <w:p>
                  <w:pPr/>
                  <w:r>
                    <w:rPr/>
                    <w:t xml:space="preserve">			</w:t>
                  </w:r>
                </w:p>
              </w:tc>
              <w:tc>
                <w:tcPr>
                  <w:tcW w:w="1380" w:type="dxa"/>
                  <w:noWrap/>
                </w:tcPr>
                <w:p>
                  <w:pPr/>
                  <w:r>
                    <w:rPr/>
                    <w:t xml:space="preserve">			</w:t>
                  </w:r>
                </w:p>
                <w:p>
                  <w:pPr>
                    <w:jc w:val="center"/>
                  </w:pPr>
                  <w:r>
                    <w:rPr/>
                    <w:t xml:space="preserve">мг/л</w:t>
                  </w:r>
                </w:p>
                <w:p>
                  <w:pPr/>
                  <w:r>
                    <w:rPr/>
                    <w:t xml:space="preserve">			</w:t>
                  </w:r>
                </w:p>
              </w:tc>
              <w:tc>
                <w:tcPr>
                  <w:tcW w:w="2070" w:type="dxa"/>
                  <w:noWrap/>
                </w:tcPr>
                <w:p>
                  <w:pPr/>
                  <w:r>
                    <w:rPr/>
                    <w:t xml:space="preserve">			</w:t>
                  </w:r>
                </w:p>
                <w:p>
                  <w:pPr>
                    <w:jc w:val="center"/>
                  </w:pPr>
                  <w:r>
                    <w:rPr/>
                    <w:t xml:space="preserve">230</w:t>
                  </w:r>
                </w:p>
                <w:p>
                  <w:pPr/>
                  <w:r>
                    <w:rPr/>
                    <w:t xml:space="preserve">			</w:t>
                  </w:r>
                </w:p>
              </w:tc>
              <w:tc>
                <w:tcPr>
                  <w:tcW w:w="1815" w:type="dxa"/>
                  <w:noWrap/>
                </w:tcPr>
                <w:p>
                  <w:pPr/>
                  <w:r>
                    <w:rPr/>
                    <w:t xml:space="preserve">			</w:t>
                  </w:r>
                </w:p>
                <w:p>
                  <w:pPr>
                    <w:jc w:val="center"/>
                  </w:pPr>
                  <w:r>
                    <w:rPr/>
                    <w:t xml:space="preserve">140</w:t>
                  </w:r>
                </w:p>
                <w:p>
                  <w:pPr/>
                  <w:r>
                    <w:rPr/>
                    <w:t xml:space="preserve">			</w:t>
                  </w:r>
                </w:p>
              </w:tc>
              <w:tc>
                <w:tcPr>
                  <w:tcW w:w="2070" w:type="dxa"/>
                  <w:noWrap/>
                </w:tcPr>
                <w:p>
                  <w:pPr/>
                  <w:r>
                    <w:rPr/>
                    <w:t xml:space="preserve">			</w:t>
                  </w:r>
                </w:p>
                <w:p>
                  <w:pPr>
                    <w:jc w:val="center"/>
                  </w:pPr>
                  <w:r>
                    <w:rPr/>
                    <w:t xml:space="preserve">48</w:t>
                  </w:r>
                </w:p>
                <w:p>
                  <w:pPr/>
                  <w:r>
                    <w:rPr/>
                    <w:t xml:space="preserve">			</w:t>
                  </w:r>
                </w:p>
              </w:tc>
            </w:tr>
            <w:tr>
              <w:trPr/>
              <w:tc>
                <w:tcPr>
                  <w:tcW w:w="2055" w:type="dxa"/>
                  <w:noWrap/>
                </w:tcPr>
                <w:p>
                  <w:pPr/>
                  <w:r>
                    <w:rPr/>
                    <w:t xml:space="preserve">			</w:t>
                  </w:r>
                </w:p>
                <w:p>
                  <w:pPr>
                    <w:jc w:val="center"/>
                  </w:pPr>
                  <w:r>
                    <w:rPr/>
                    <w:t xml:space="preserve">Аммоний</w:t>
                  </w:r>
                </w:p>
                <w:p>
                  <w:pPr/>
                  <w:r>
                    <w:rPr/>
                    <w:t xml:space="preserve">			</w:t>
                  </w:r>
                </w:p>
              </w:tc>
              <w:tc>
                <w:tcPr>
                  <w:tcW w:w="1380" w:type="dxa"/>
                  <w:noWrap/>
                </w:tcPr>
                <w:p>
                  <w:pPr/>
                  <w:r>
                    <w:rPr/>
                    <w:t xml:space="preserve">			</w:t>
                  </w:r>
                </w:p>
                <w:p>
                  <w:pPr>
                    <w:jc w:val="center"/>
                  </w:pPr>
                  <w:r>
                    <w:rPr/>
                    <w:t xml:space="preserve">мг/л</w:t>
                  </w:r>
                </w:p>
                <w:p>
                  <w:pPr/>
                  <w:r>
                    <w:rPr/>
                    <w:t xml:space="preserve">			</w:t>
                  </w:r>
                </w:p>
              </w:tc>
              <w:tc>
                <w:tcPr>
                  <w:tcW w:w="2070" w:type="dxa"/>
                  <w:noWrap/>
                </w:tcPr>
                <w:p>
                  <w:pPr/>
                  <w:r>
                    <w:rPr/>
                    <w:t xml:space="preserve">			</w:t>
                  </w:r>
                </w:p>
                <w:p>
                  <w:pPr>
                    <w:jc w:val="center"/>
                  </w:pPr>
                  <w:r>
                    <w:rPr/>
                    <w:t xml:space="preserve">4,1</w:t>
                  </w:r>
                </w:p>
                <w:p>
                  <w:pPr/>
                  <w:r>
                    <w:rPr/>
                    <w:t xml:space="preserve">			</w:t>
                  </w:r>
                </w:p>
              </w:tc>
              <w:tc>
                <w:tcPr>
                  <w:tcW w:w="1815" w:type="dxa"/>
                  <w:noWrap/>
                </w:tcPr>
                <w:p>
                  <w:pPr/>
                  <w:r>
                    <w:rPr/>
                    <w:t xml:space="preserve">			</w:t>
                  </w:r>
                </w:p>
                <w:p>
                  <w:pPr>
                    <w:jc w:val="center"/>
                  </w:pPr>
                  <w:r>
                    <w:rPr/>
                    <w:t xml:space="preserve">2,7</w:t>
                  </w:r>
                </w:p>
                <w:p>
                  <w:pPr/>
                  <w:r>
                    <w:rPr/>
                    <w:t xml:space="preserve">			</w:t>
                  </w:r>
                </w:p>
              </w:tc>
              <w:tc>
                <w:tcPr>
                  <w:tcW w:w="2070" w:type="dxa"/>
                  <w:noWrap/>
                </w:tcPr>
                <w:p>
                  <w:pPr/>
                  <w:r>
                    <w:rPr/>
                    <w:t xml:space="preserve">			</w:t>
                  </w:r>
                </w:p>
                <w:p>
                  <w:pPr>
                    <w:jc w:val="center"/>
                  </w:pPr>
                  <w:r>
                    <w:rPr/>
                    <w:t xml:space="preserve">0</w:t>
                  </w:r>
                </w:p>
                <w:p>
                  <w:pPr/>
                  <w:r>
                    <w:rPr/>
                    <w:t xml:space="preserve">			</w:t>
                  </w:r>
                </w:p>
              </w:tc>
            </w:tr>
            <w:tr>
              <w:trPr/>
              <w:tc>
                <w:tcPr>
                  <w:tcW w:w="2055" w:type="dxa"/>
                  <w:noWrap/>
                </w:tcPr>
                <w:p>
                  <w:pPr/>
                  <w:r>
                    <w:rPr/>
                    <w:t xml:space="preserve">			</w:t>
                  </w:r>
                </w:p>
                <w:p>
                  <w:pPr>
                    <w:jc w:val="center"/>
                  </w:pPr>
                  <w:r>
                    <w:rPr/>
                    <w:t xml:space="preserve">Циан тузлари</w:t>
                  </w:r>
                </w:p>
                <w:p>
                  <w:pPr/>
                  <w:r>
                    <w:rPr/>
                    <w:t xml:space="preserve">			</w:t>
                  </w:r>
                </w:p>
              </w:tc>
              <w:tc>
                <w:tcPr>
                  <w:tcW w:w="1380" w:type="dxa"/>
                  <w:noWrap/>
                </w:tcPr>
                <w:p>
                  <w:pPr/>
                  <w:r>
                    <w:rPr/>
                    <w:t xml:space="preserve">			</w:t>
                  </w:r>
                </w:p>
                <w:p>
                  <w:pPr>
                    <w:jc w:val="center"/>
                  </w:pPr>
                  <w:r>
                    <w:rPr/>
                    <w:t xml:space="preserve">мг/л</w:t>
                  </w:r>
                </w:p>
                <w:p>
                  <w:pPr/>
                  <w:r>
                    <w:rPr/>
                    <w:t xml:space="preserve">			</w:t>
                  </w:r>
                </w:p>
              </w:tc>
              <w:tc>
                <w:tcPr>
                  <w:tcW w:w="2070" w:type="dxa"/>
                  <w:noWrap/>
                </w:tcPr>
                <w:p>
                  <w:pPr/>
                  <w:r>
                    <w:rPr/>
                    <w:t xml:space="preserve">			</w:t>
                  </w:r>
                </w:p>
                <w:p>
                  <w:pPr>
                    <w:jc w:val="center"/>
                  </w:pPr>
                  <w:r>
                    <w:rPr/>
                    <w:t xml:space="preserve">0</w:t>
                  </w:r>
                </w:p>
                <w:p>
                  <w:pPr/>
                  <w:r>
                    <w:rPr/>
                    <w:t xml:space="preserve">			</w:t>
                  </w:r>
                </w:p>
              </w:tc>
              <w:tc>
                <w:tcPr>
                  <w:tcW w:w="1815" w:type="dxa"/>
                  <w:noWrap/>
                </w:tcPr>
                <w:p>
                  <w:pPr/>
                  <w:r>
                    <w:rPr/>
                    <w:t xml:space="preserve">			</w:t>
                  </w:r>
                </w:p>
                <w:p>
                  <w:pPr>
                    <w:jc w:val="center"/>
                  </w:pPr>
                  <w:r>
                    <w:rPr/>
                    <w:t xml:space="preserve">0</w:t>
                  </w:r>
                </w:p>
                <w:p>
                  <w:pPr/>
                  <w:r>
                    <w:rPr/>
                    <w:t xml:space="preserve">			</w:t>
                  </w:r>
                </w:p>
              </w:tc>
              <w:tc>
                <w:tcPr>
                  <w:tcW w:w="2070" w:type="dxa"/>
                  <w:noWrap/>
                </w:tcPr>
                <w:p>
                  <w:pPr/>
                  <w:r>
                    <w:rPr/>
                    <w:t xml:space="preserve">			</w:t>
                  </w:r>
                </w:p>
                <w:p>
                  <w:pPr>
                    <w:jc w:val="center"/>
                  </w:pPr>
                  <w:r>
                    <w:rPr/>
                    <w:t xml:space="preserve">0</w:t>
                  </w:r>
                </w:p>
                <w:p>
                  <w:pPr/>
                  <w:r>
                    <w:rPr/>
                    <w:t xml:space="preserve">			</w:t>
                  </w:r>
                </w:p>
              </w:tc>
            </w:tr>
            <w:tr>
              <w:trPr/>
              <w:tc>
                <w:tcPr>
                  <w:tcW w:w="2055" w:type="dxa"/>
                  <w:noWrap/>
                </w:tcPr>
                <w:p>
                  <w:pPr/>
                  <w:r>
                    <w:rPr/>
                    <w:t xml:space="preserve">			</w:t>
                  </w:r>
                </w:p>
                <w:p>
                  <w:pPr>
                    <w:jc w:val="center"/>
                  </w:pPr>
                  <w:r>
                    <w:rPr/>
                    <w:t xml:space="preserve">Ишқорийлиги</w:t>
                  </w:r>
                </w:p>
                <w:p>
                  <w:pPr/>
                  <w:r>
                    <w:rPr/>
                    <w:t xml:space="preserve">			</w:t>
                  </w:r>
                </w:p>
              </w:tc>
              <w:tc>
                <w:tcPr>
                  <w:tcW w:w="1380" w:type="dxa"/>
                  <w:noWrap/>
                </w:tcPr>
                <w:p>
                  <w:pPr/>
                  <w:r>
                    <w:rPr/>
                    <w:t xml:space="preserve">			</w:t>
                  </w:r>
                </w:p>
                <w:p>
                  <w:pPr>
                    <w:jc w:val="center"/>
                  </w:pPr>
                  <w:r>
                    <w:rPr/>
                    <w:t xml:space="preserve">мгекв/дм3</w:t>
                  </w:r>
                </w:p>
                <w:p>
                  <w:pPr/>
                  <w:r>
                    <w:rPr/>
                    <w:t xml:space="preserve">			</w:t>
                  </w:r>
                </w:p>
              </w:tc>
              <w:tc>
                <w:tcPr>
                  <w:tcW w:w="2070" w:type="dxa"/>
                  <w:noWrap/>
                </w:tcPr>
                <w:p>
                  <w:pPr/>
                  <w:r>
                    <w:rPr/>
                    <w:t xml:space="preserve">			</w:t>
                  </w:r>
                </w:p>
                <w:p>
                  <w:pPr>
                    <w:jc w:val="center"/>
                  </w:pPr>
                  <w:r>
                    <w:rPr/>
                    <w:t xml:space="preserve">3,2</w:t>
                  </w:r>
                </w:p>
                <w:p>
                  <w:pPr/>
                  <w:r>
                    <w:rPr/>
                    <w:t xml:space="preserve">			</w:t>
                  </w:r>
                </w:p>
              </w:tc>
              <w:tc>
                <w:tcPr>
                  <w:tcW w:w="1815" w:type="dxa"/>
                  <w:noWrap/>
                </w:tcPr>
                <w:p>
                  <w:pPr/>
                  <w:r>
                    <w:rPr/>
                    <w:t xml:space="preserve">			</w:t>
                  </w:r>
                </w:p>
                <w:p>
                  <w:pPr>
                    <w:jc w:val="center"/>
                  </w:pPr>
                  <w:r>
                    <w:rPr/>
                    <w:t xml:space="preserve">3,8</w:t>
                  </w:r>
                </w:p>
                <w:p>
                  <w:pPr/>
                  <w:r>
                    <w:rPr/>
                    <w:t xml:space="preserve">			</w:t>
                  </w:r>
                </w:p>
              </w:tc>
              <w:tc>
                <w:tcPr>
                  <w:tcW w:w="2070" w:type="dxa"/>
                  <w:noWrap/>
                </w:tcPr>
                <w:p>
                  <w:pPr/>
                  <w:r>
                    <w:rPr/>
                    <w:t xml:space="preserve">			</w:t>
                  </w:r>
                </w:p>
                <w:p>
                  <w:pPr>
                    <w:jc w:val="center"/>
                  </w:pPr>
                  <w:r>
                    <w:rPr/>
                    <w:t xml:space="preserve">3,5</w:t>
                  </w:r>
                </w:p>
                <w:p>
                  <w:pPr/>
                  <w:r>
                    <w:rPr/>
                    <w:t xml:space="preserve">			</w:t>
                  </w:r>
                </w:p>
              </w:tc>
            </w:tr>
            <w:tr>
              <w:trPr/>
              <w:tc>
                <w:tcPr>
                  <w:tcW w:w="2055" w:type="dxa"/>
                  <w:noWrap/>
                </w:tcPr>
                <w:p>
                  <w:pPr/>
                  <w:r>
                    <w:rPr/>
                    <w:t xml:space="preserve">			</w:t>
                  </w:r>
                </w:p>
                <w:p>
                  <w:pPr>
                    <w:jc w:val="center"/>
                  </w:pPr>
                  <w:r>
                    <w:rPr/>
                    <w:t xml:space="preserve">Нитратлар</w:t>
                  </w:r>
                </w:p>
                <w:p>
                  <w:pPr/>
                  <w:r>
                    <w:rPr/>
                    <w:t xml:space="preserve">			</w:t>
                  </w:r>
                </w:p>
              </w:tc>
              <w:tc>
                <w:tcPr>
                  <w:tcW w:w="1380" w:type="dxa"/>
                  <w:noWrap/>
                </w:tcPr>
                <w:p>
                  <w:pPr/>
                  <w:r>
                    <w:rPr/>
                    <w:t xml:space="preserve">			</w:t>
                  </w:r>
                </w:p>
                <w:p>
                  <w:pPr>
                    <w:jc w:val="center"/>
                  </w:pPr>
                  <w:r>
                    <w:rPr/>
                    <w:t xml:space="preserve">мг/л</w:t>
                  </w:r>
                </w:p>
                <w:p>
                  <w:pPr/>
                  <w:r>
                    <w:rPr/>
                    <w:t xml:space="preserve">			</w:t>
                  </w:r>
                </w:p>
              </w:tc>
              <w:tc>
                <w:tcPr>
                  <w:tcW w:w="2070" w:type="dxa"/>
                  <w:noWrap/>
                </w:tcPr>
                <w:p>
                  <w:pPr/>
                  <w:r>
                    <w:rPr/>
                    <w:t xml:space="preserve">			</w:t>
                  </w:r>
                </w:p>
                <w:p>
                  <w:pPr>
                    <w:jc w:val="center"/>
                  </w:pPr>
                  <w:r>
                    <w:rPr/>
                    <w:t xml:space="preserve">27,4</w:t>
                  </w:r>
                </w:p>
                <w:p>
                  <w:pPr/>
                  <w:r>
                    <w:rPr/>
                    <w:t xml:space="preserve">			</w:t>
                  </w:r>
                </w:p>
              </w:tc>
              <w:tc>
                <w:tcPr>
                  <w:tcW w:w="1815" w:type="dxa"/>
                  <w:noWrap/>
                </w:tcPr>
                <w:p>
                  <w:pPr/>
                  <w:r>
                    <w:rPr/>
                    <w:t xml:space="preserve">			</w:t>
                  </w:r>
                </w:p>
                <w:p>
                  <w:pPr>
                    <w:jc w:val="center"/>
                  </w:pPr>
                  <w:r>
                    <w:rPr/>
                    <w:t xml:space="preserve">16,2</w:t>
                  </w:r>
                </w:p>
                <w:p>
                  <w:pPr/>
                  <w:r>
                    <w:rPr/>
                    <w:t xml:space="preserve">			</w:t>
                  </w:r>
                </w:p>
              </w:tc>
              <w:tc>
                <w:tcPr>
                  <w:tcW w:w="2070" w:type="dxa"/>
                  <w:noWrap/>
                </w:tcPr>
                <w:p>
                  <w:pPr/>
                  <w:r>
                    <w:rPr/>
                    <w:t xml:space="preserve">			</w:t>
                  </w:r>
                </w:p>
                <w:p>
                  <w:pPr>
                    <w:jc w:val="center"/>
                  </w:pPr>
                  <w:r>
                    <w:rPr/>
                    <w:t xml:space="preserve">2,3</w:t>
                  </w:r>
                </w:p>
                <w:p>
                  <w:pPr/>
                  <w:r>
                    <w:rPr/>
                    <w:t xml:space="preserve">			</w:t>
                  </w:r>
                </w:p>
              </w:tc>
            </w:tr>
            <w:tr>
              <w:trPr/>
              <w:tc>
                <w:tcPr>
                  <w:tcW w:w="2055" w:type="dxa"/>
                  <w:noWrap/>
                </w:tcPr>
                <w:p>
                  <w:pPr/>
                  <w:r>
                    <w:rPr/>
                    <w:t xml:space="preserve">			</w:t>
                  </w:r>
                </w:p>
                <w:p>
                  <w:pPr>
                    <w:jc w:val="center"/>
                  </w:pPr>
                  <w:r>
                    <w:rPr/>
                    <w:t xml:space="preserve">Гидразин</w:t>
                  </w:r>
                </w:p>
                <w:p>
                  <w:pPr/>
                  <w:r>
                    <w:rPr/>
                    <w:t xml:space="preserve">			</w:t>
                  </w:r>
                </w:p>
              </w:tc>
              <w:tc>
                <w:tcPr>
                  <w:tcW w:w="1380" w:type="dxa"/>
                  <w:noWrap/>
                </w:tcPr>
                <w:p>
                  <w:pPr/>
                  <w:r>
                    <w:rPr/>
                    <w:t xml:space="preserve">			</w:t>
                  </w:r>
                </w:p>
                <w:p>
                  <w:pPr>
                    <w:jc w:val="center"/>
                  </w:pPr>
                  <w:r>
                    <w:rPr/>
                    <w:t xml:space="preserve">мг/л</w:t>
                  </w:r>
                </w:p>
                <w:p>
                  <w:pPr/>
                  <w:r>
                    <w:rPr/>
                    <w:t xml:space="preserve">			</w:t>
                  </w:r>
                </w:p>
              </w:tc>
              <w:tc>
                <w:tcPr>
                  <w:tcW w:w="2070" w:type="dxa"/>
                  <w:noWrap/>
                </w:tcPr>
                <w:p>
                  <w:pPr/>
                  <w:r>
                    <w:rPr/>
                    <w:t xml:space="preserve">			</w:t>
                  </w:r>
                </w:p>
                <w:p>
                  <w:pPr>
                    <w:jc w:val="center"/>
                  </w:pPr>
                  <w:r>
                    <w:rPr/>
                    <w:t xml:space="preserve">ишлатилмайди</w:t>
                  </w:r>
                </w:p>
                <w:p>
                  <w:pPr/>
                  <w:r>
                    <w:rPr/>
                    <w:t xml:space="preserve">			</w:t>
                  </w:r>
                </w:p>
              </w:tc>
              <w:tc>
                <w:tcPr>
                  <w:tcW w:w="1815" w:type="dxa"/>
                  <w:noWrap/>
                </w:tcPr>
                <w:p>
                  <w:pPr/>
                  <w:r>
                    <w:rPr/>
                    <w:t xml:space="preserve">			</w:t>
                  </w:r>
                </w:p>
                <w:p>
                  <w:pPr>
                    <w:jc w:val="center"/>
                  </w:pPr>
                  <w:r>
                    <w:rPr/>
                    <w:t xml:space="preserve">0,007</w:t>
                  </w:r>
                </w:p>
                <w:p>
                  <w:pPr/>
                  <w:r>
                    <w:rPr/>
                    <w:t xml:space="preserve">			</w:t>
                  </w:r>
                </w:p>
              </w:tc>
              <w:tc>
                <w:tcPr>
                  <w:tcW w:w="2070" w:type="dxa"/>
                  <w:noWrap/>
                </w:tcPr>
                <w:p>
                  <w:pPr/>
                  <w:r>
                    <w:rPr/>
                    <w:t xml:space="preserve">			</w:t>
                  </w:r>
                </w:p>
                <w:p>
                  <w:pPr>
                    <w:jc w:val="center"/>
                  </w:pPr>
                  <w:r>
                    <w:rPr/>
                    <w:t xml:space="preserve">0,03</w:t>
                  </w:r>
                </w:p>
                <w:p>
                  <w:pPr/>
                  <w:r>
                    <w:rPr/>
                    <w:t xml:space="preserve">			</w:t>
                  </w:r>
                </w:p>
              </w:tc>
            </w:tr>
          </w:tbl>
          <w:p>
            <w:pPr/>
            <w:r>
              <w:rPr/>
              <w:t xml:space="preserve"> </w:t>
            </w:r>
          </w:p>
          <w:p>
            <w:pPr/>
            <w:r>
              <w:rPr/>
              <w:t xml:space="preserve">Шуни алоҳида таъкидлаш керакки, корхонанинг экологик таҳлил (санитария) лабораторияси таҳлиллари натижаларига кўра, </w:t>
            </w:r>
            <w:r>
              <w:rPr>
                <w:b w:val="1"/>
                <w:bCs w:val="1"/>
              </w:rPr>
              <w:t xml:space="preserve">«Навои</w:t>
            </w:r>
            <w:r>
              <w:rPr>
                <w:b w:val="1"/>
                <w:bCs w:val="1"/>
              </w:rPr>
              <w:t xml:space="preserve">йа</w:t>
            </w:r>
            <w:r>
              <w:rPr>
                <w:b w:val="1"/>
                <w:bCs w:val="1"/>
              </w:rPr>
              <w:t xml:space="preserve">зот» АЖдан бошқа корхоналар оқова сувлари таркибида 0,03 мг/л ва дарёдан олинган нобуд бўлган балиқлардан олинган суюқликда 0,1 мг/л гидразин моддаси борлиги аниқланди. Гидразин моддасининг балиқлар яшайдиган сув ҳавзасига ташланаётган оқова сувлар таркибида бўлиши тақиқланади.</w:t>
            </w:r>
          </w:p>
          <w:p>
            <w:pPr/>
            <w:r>
              <w:rPr>
                <w:b w:val="1"/>
                <w:bCs w:val="1"/>
              </w:rPr>
              <w:t xml:space="preserve">«Навои</w:t>
            </w:r>
            <w:r>
              <w:rPr>
                <w:b w:val="1"/>
                <w:bCs w:val="1"/>
              </w:rPr>
              <w:t xml:space="preserve">йа</w:t>
            </w:r>
            <w:r>
              <w:rPr>
                <w:b w:val="1"/>
                <w:bCs w:val="1"/>
              </w:rPr>
              <w:t xml:space="preserve">зот» АЖга қарашли 267-қудуғига ташланадиган оқова сувлар тушадиган технологик қурилмаларда гидразин моддаси ишлатилмайди</w:t>
            </w:r>
            <w:r>
              <w:rPr>
                <w:b w:val="1"/>
                <w:bCs w:val="1"/>
              </w:rPr>
              <w:t xml:space="preserve"> ва таҳлиллар натижасида ҳам бу модда мавжуд эмаслигини кўриш мумкин.</w:t>
            </w:r>
          </w:p>
          <w:p>
            <w:pPr/>
            <w:r>
              <w:rPr/>
              <w:t xml:space="preserve">Яна бир жиҳатга эътибор қаратиш лозим. Балиқ етиштириш хўжаликларида озуқа учун аммоний моддаларидан фойдаланиладиган балиқ етиштиришнинг интенсив технологиялари ҳам мавжуд. Бунга мисол қилиб, балиқ етиштиришда аммофос ўғити ишлатилиши ва унинг таркибида 46% фосфор ҳамда 12% аммоний бирикмалари мавжудлигини келтиришимиз мумкин.</w:t>
            </w:r>
          </w:p>
          <w:p>
            <w:pPr/>
            <w:r>
              <w:rPr/>
              <w:t xml:space="preserve">Зарафшон дарёсига тўғридан-тўғри оқова сувларнинг ташланиши ва келгусида ҳам кузатилиши мумкин бўлган бу каби асоссиз айбловларнинг олдини олиш мақсадида «Навоийазот» АЖда барча оқова сувларни Биологик кимёвий тозалаш иншоотига йўналтириш бўйича ишлар амалга оширилмоқда.</w:t>
            </w:r>
          </w:p>
          <w:p>
            <w:pPr/>
            <w:r>
              <w:rPr/>
              <w:t xml:space="preserve">Ҳозирда Экология ва атроф-муҳитни муҳофаза қилиш давлат қўмитаси, ҳуқуқни муҳофаза қилиш органлари, «Навоийазот» АЖ ҳамда Навоий ИЭС ходимлари билан биргаликда барча оқова сувлар ташланадиган жойлардан таҳлил учун намуналар олиниб, содир бўлган ҳодиса юзасидан текширув ишлари олиб борилмоқда. Натижалари бўйича аниқ маълумотлар тезкорлик билан жамоатчиликка тақдим этиб борилади.</w:t>
            </w:r>
          </w:p>
          <w:p>
            <w:pPr/>
            <w:r>
              <w:rPr/>
              <w:t xml:space="preserve">Шу ўринда, айрим ОАВ вакиллари, блогерлар ва ижтимоий тармоқ фаолларидан тахминларга асосланган, ноаниқ маълумотларни тарқатмаслик ва асоссиз айбловлардан йироқ бўлишларини сўраймиз. Мавзу юзасидан аниқ, батафсил ва тезкор маълумотларни олиш учун «Ўзкимёсаноат» АЖ Матбуот хизмати билан боғланишингиз мумкин.  (+998 78 140 74 26)</w:t>
            </w:r>
          </w:p>
          <w:p>
            <w:pPr/>
            <w:r>
              <w:rPr/>
              <w:t xml:space="preserve">«Ўзкимёсаноат» АЖ экология ва атроф-муҳит муҳофазасига алоҳида эътибор қаратади ва устувор вазифа деб билади. Бу борада тизим корхоналарида мунтазам мониторинг ўрнатиш, кимё саноатида экологик талабларга тўлиқ жавоб берадиган замонавий технологиялар ва «яшил энергетикани» кенг жорий қилиш бўйича тизимли ишлар давом эттирилади.</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https://new.uzkimyosanoat.uz/uz/press/news/uzkimyosanoat-hamda-navoiyazot-aksiyadorlik-jamiyatlarining-rasmiy-bayonoti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