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Сарҳисоб: 2025-йилда таннархни пасайтириш ва маҳаллийлаштириш бўйича юқори натижаларга эришилди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2025-йилда корхоналарда таннархни пасайтириш бўйича белгиланган чора-тадбирлар ижроси доирасида ишлаб чиқариш харажатлари 766,1 млрд сўмга қисқартирилди.</w:t>
            </w:r>
          </w:p>
          <w:p>
            <w:pPr/>
            <w:r>
              <w:rPr/>
              <w:t xml:space="preserve">Шунингдек, маҳаллийлаштириш дастури доирасида 31 та лойиҳа амалга оширилиб, жами 5 190,3 млрд сўмлик маҳсулот ишлаб чиқарилди.</w:t>
            </w:r>
          </w:p>
          <w:p>
            <w:pPr/>
            <w:r>
              <w:rPr/>
              <w:t xml:space="preserve">Қайд этилган натижалар ишлаб чиқариш самарадорлигини ошириш, импорт ўрнини босиш ва ички бозорни маҳаллий маҳсулотлар билан таъминлашга хизмат қилмоқда.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https://new.uzkimyosanoat.uz/uz/press/news/sarhisob-2025-yilda-tannarhni-pasaytirish-va-mahalliylashtir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