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17-май</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АЖда корхона ходимларидан ташкил топган гуруҳлар иштирокида "Қувноқлар ва зукколар" беллашуви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Барчага аъло кайфият ва кулгу улашган тадбирда "Ўзкимёсаноат" АЖ Матбуот хизмати ҳам қатнашди. Беллашув асосан ёшлардан иборат бўлган "Кечикканлар" жамоаси ғалабаси билан якунланди. Якунда ғолиблар ва иштирокчиларга диплом ва эсдалик совғалари топширилди. </w:t>
            </w:r>
            <w:br/>
            <w:r>
              <w:rPr/>
              <w:t xml:space="preserve">Мазкур жамоалардан сараланган энг иқтидорлилардан иборат терма жамоа, "Қувноқлар ва зукколар" кўрик-танловида иштирок этиши кўзда тутилган. Уларга омад ва ғалабалар тилаймиз!</w:t>
            </w:r>
          </w:p>
          <w:p>
            <w:pPr/>
            <w:r>
              <w:rPr/>
              <w:t xml:space="preserve"> </w:t>
            </w:r>
          </w:p>
          <w:p>
            <w:pPr>
              <w:jc w:val="end"/>
            </w:pPr>
            <w:r>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https://new.uzkimyosanoat.uz/uz/press/news/quvnoqlar-zukkolar-kurik-tanlovi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