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“Open ChemAI Challenge” хакатонининг саралаш босқичи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br/>
            <w:r>
              <w:rPr/>
              <w:t xml:space="preserve">Корхонада ишлаб чиқариш жараёнларига инновацион ва рақамли ечимларни жорий этиш, ёш мутахассисларнинг илмий-техник салоҳиятини ривожлантириш мақсадида “Open ChemAI Challenge” хакатонининг саралаш босқичи ташкил этилди.</w:t>
            </w:r>
          </w:p>
          <w:p>
            <w:pPr>
              <w:jc w:val="both"/>
            </w:pPr>
            <w:r>
              <w:rPr/>
              <w:t xml:space="preserve">Унда турли бўлимлардан иқтидорли ёшлар ўз лойиҳалари билан иштирок этиб, якунда энг муносиб жамоа шакллантирилди ҳамда финал босқичига йўлланма олди.</w:t>
            </w:r>
          </w:p>
          <w:p>
            <w:pPr>
              <w:jc w:val="both"/>
            </w:pPr>
            <w:r>
              <w:rPr/>
              <w:t xml:space="preserve">“Аммофос-Максам” АЖ Матбуот хизмати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https://new.uzkimyosanoat.uz/uz/press/news/open-chemai-challenge-hakatonining-saralash-bosqichi-tashkil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