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2-июл</w:t>
      </w:r>
    </w:p>
    <w:p w14:paraId="65A7E376" w14:textId="29A957ED" w:rsidR="004D4932" w:rsidRPr="00A048F3" w:rsidRDefault="00A048F3" w:rsidP="00AD52D5">
      <w:pPr>
        <w:rPr>
          <w:b/>
          <w:sz w:val="32"/>
          <w:szCs w:val="28"/>
          <w:lang w:val="en-US"/>
        </w:rPr>
      </w:pPr>
      <w:bookmarkStart w:id="0" w:name="_GoBack"/>
      <w:r>
        <w:rPr>
          <w:b/>
          <w:sz w:val="32"/>
          <w:szCs w:val="28"/>
          <w:lang w:val="en-US"/>
        </w:rPr>
        <w:t>2 июль – Ўзбекистон Республикаси Давлат герби қабул қилинган кун!</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Давлат герби Ўзбекистон Республикаси давлат мустақиллигининг рамзидир.</w:t>
            </w:r>
          </w:p>
          <w:p>
            <w:pPr/>
            <w:r>
              <w:rPr/>
              <w:t xml:space="preserve">Ўзбекистон Республикаси Давлат герби қуйидаги кўринишга эга: тоғлар, дарёлар ва сўл томони буғдой бошоқларидан, ўнг томони эса чаноқлари очилган ғўза шохларидан иборат чамбарга ўралган гуллаган водий узра қуёш заррин нурларини сочиб туради. Гербнинг юқори қисмида Республика ҳурлигининг рамзи сифатида саккизбурчак тасвирланган бўлиб, унинг ички қисмида ярим ой ва юлдуз тасвирланган. Гербнинг марказида бахт ва эрксеварлик рамзи — қанотларини ёзган Ҳумо қуши тасвирланган. Гербнинг пастки қисмида Ўзбекистон Республикаси Давлат байроғини ифода этувчи чамбар лентасининг бантида “O‘zbekiston” деб ёзиб қўйилган.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https://new.uzkimyosanoat.uz/uz/press/news/gerb2020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