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18-ноябр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Бир Ватан, бир эл, бир байроқ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Байроғимиз — бу мустақил давлатимизнинг ёрқин рамзи, халқимизнинг орзу-умидлари ҳамда ғурур манбаи. У ҳар бир юртдошимизда фахр ва ифтихор туйғуларини уйғотади.</w:t>
            </w:r>
          </w:p>
          <w:p>
            <w:pPr/>
            <w:r>
              <w:rPr/>
              <w:t xml:space="preserve">Байроғимизда миллий-тарихий анъаналаримиз, бой маданиятимиз, шунингдек, поклик, донишмандлик, мардлик, шон-шараф ва садоқат каби халқимизга хос улуғ фазилатлар ўз ифодасини топган.</w:t>
            </w:r>
          </w:p>
          <w:p>
            <w:pPr/>
            <w:r>
              <w:rPr/>
              <w:t xml:space="preserve">“Ўзкимёсаноат” АЖ ходимлари Ўзбекистон Республикаси Давлат байроғи қабул қилинганлигининг 34 йиллиги муносабати билан ўтказилаётган "Бир Ватан, бир эл, бир байроқ" чорлов тадбирларида фаол иштирок этишди. 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https://new.uzkimyosanoat.uz/uz/press/news/bir-vatan-bir-el-bir-bayroq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