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“Аммофос-Максам” АЖда Касаба уюшмалари куни кенг нишонланди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11-ноябр — Ўзбекистон Касаба уюшмалари куни. Ушбу сана муносабати билан “Аммофос-Максам” АЖда жойлашган “Кимёгар” спорт-маданият мажмуасида байрам тадбири кенг нишонланди.</w:t>
            </w:r>
          </w:p>
          <w:p>
            <w:pPr/>
            <w:r>
              <w:rPr/>
              <w:t xml:space="preserve">Тадбир давомида касаба уюшмаси тизимида фаолият юритиб келаётган бир гуруҳ фидойи ходимлар тақдирланди. Уларнинг меҳнатлари эътироф этилиб, эсдалик совғалари топширилди.</w:t>
            </w:r>
          </w:p>
          <w:p>
            <w:pPr/>
            <w:r>
              <w:rPr>
                <w:b w:val="1"/>
                <w:bCs w:val="1"/>
              </w:rPr>
              <w:t xml:space="preserve">“Аммофос-Максам” АЖ Матбуот хизмати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https://new.uzkimyosanoat.uz/uz/press/news/ammofos-maksam-azhda-kasaba-uyushmalari-kuni-keng-nishonland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