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Давлат харидларини амалга ошириш тартиб-таомилларини белгиловчи харид комиссиясининг ички идоравий тартиби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Давлат харидларини амалга ошириш тартиб-таомилларини белгиловчи харид комиссиясининг ички идоравий тартиби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Йиллик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Давлат, харид, комиссия, ички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Давлат харидларини амалга ошириш тартиб-таомилларини белгиловчи харид комиссиясининг ички идоравий тартиби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