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Тўғридан-тўғри шартномалар бўйича амалга ошириладиган давлат харидлари тўғрисидаги маълумотлар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Тўғридан тўғри шартномалар бўйича амалга ошириладиган давлат харидлари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Шартнома, давлат, харид,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1-чораги давомида тўғридан-тўғри шартномалар бўйича амалга ошириладиган давлат харидлари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