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17-декабр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“Навоиазот” АЖ негизида поливинилхлорид (ПВХ), каустик сода ва метанол ишлаб чиқариш комплексини қуриш” лойиҳа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Лойиҳани асоси:</w:t>
            </w:r>
            <w:r>
              <w:rPr/>
              <w:t xml:space="preserve"> Лойиҳа Ўзбекистон Республикаси Президентининг 2014 йил 16 декабрдаги “Навоийазот” АЖ негизида поливинилхлорид (ПВХ), каустик сода ва метанол ишлаб чиқариш комплекси қурилиши” инвестицион лойиҳасини амалга ошириш чора-тадбирлари тўғрисида” ПҚ–2272-сон қарорига мувофиқ амалга оширилди.</w:t>
            </w:r>
          </w:p>
          <w:p>
            <w:pPr/>
            <w:r>
              <w:rPr>
                <w:b w:val="1"/>
                <w:bCs w:val="1"/>
              </w:rPr>
              <w:t xml:space="preserve">Лойиҳанинг мақсади:</w:t>
            </w:r>
            <w:r>
              <w:rPr/>
              <w:t xml:space="preserve"> Импорт ўрнини босувчи янги турдаги поливинилхлорид (ПВХ), каустик сода ва метанол махсулотларини ишлаб чиқариш.</w:t>
            </w:r>
          </w:p>
          <w:p>
            <w:pPr/>
            <w:r>
              <w:rPr>
                <w:b w:val="1"/>
                <w:bCs w:val="1"/>
              </w:rPr>
              <w:t xml:space="preserve">Лойиҳа қуввати:</w:t>
            </w:r>
            <w:r>
              <w:rPr/>
              <w:t xml:space="preserve"> йилига </w:t>
            </w:r>
            <w:r>
              <w:rPr>
                <w:b w:val="1"/>
                <w:bCs w:val="1"/>
              </w:rPr>
              <w:t xml:space="preserve">100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минг тонна</w:t>
            </w:r>
            <w:r>
              <w:rPr/>
              <w:t xml:space="preserve"> поливинилхлорид (ПВХ), </w:t>
            </w:r>
            <w:r>
              <w:rPr>
                <w:b w:val="1"/>
                <w:bCs w:val="1"/>
              </w:rPr>
              <w:t xml:space="preserve">75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минг тонна</w:t>
            </w:r>
            <w:r>
              <w:rPr/>
              <w:t xml:space="preserve"> каустик сода, </w:t>
            </w:r>
            <w:r>
              <w:rPr>
                <w:b w:val="1"/>
                <w:bCs w:val="1"/>
              </w:rPr>
              <w:t xml:space="preserve">300,0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минг тонна</w:t>
            </w:r>
            <w:r>
              <w:rPr/>
              <w:t xml:space="preserve"> метанол ва </w:t>
            </w:r>
            <w:r>
              <w:rPr>
                <w:b w:val="1"/>
                <w:bCs w:val="1"/>
              </w:rPr>
              <w:t xml:space="preserve">1 200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минг. м3</w:t>
            </w:r>
            <w:r>
              <w:rPr/>
              <w:t xml:space="preserve"> аргон ишлаб чиқарилади.</w:t>
            </w:r>
          </w:p>
          <w:p>
            <w:pPr/>
            <w:r>
              <w:rPr>
                <w:b w:val="1"/>
                <w:bCs w:val="1"/>
              </w:rPr>
              <w:t xml:space="preserve">Лойиҳани амалга оширишдан эришилган натижалар:</w:t>
            </w:r>
            <w:r>
              <w:rPr/>
              <w:t xml:space="preserve"> Лойиҳани амалга ошириш натижасида </w:t>
            </w:r>
            <w:r>
              <w:rPr>
                <w:b w:val="1"/>
                <w:bCs w:val="1"/>
              </w:rPr>
              <w:t xml:space="preserve">187,7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млн. долл.</w:t>
            </w:r>
            <w:r>
              <w:rPr/>
              <w:t xml:space="preserve"> миқдоридаги шундан – </w:t>
            </w:r>
            <w:r>
              <w:rPr>
                <w:b w:val="1"/>
                <w:bCs w:val="1"/>
              </w:rPr>
              <w:t xml:space="preserve">37,3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млн. долл.</w:t>
            </w:r>
            <w:r>
              <w:rPr/>
              <w:t xml:space="preserve"> экспортга ва импорт ўрнини босувчи </w:t>
            </w:r>
            <w:r>
              <w:rPr>
                <w:b w:val="1"/>
                <w:bCs w:val="1"/>
              </w:rPr>
              <w:t xml:space="preserve">150,4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млн. долл.</w:t>
            </w:r>
            <w:r>
              <w:rPr/>
              <w:t xml:space="preserve"> маҳсулот ишлаб чиқарилади. Янги мажмуа қурилиши республиканинг тегишли тармоқларини ривожлантиришга ва юқори қўшимча қийматга ега янги турдаги тайёр маҳсулотлар ишлаб чиқаришни ривожлантиришга ёрдам беради.</w:t>
            </w:r>
          </w:p>
          <w:p>
            <w:pPr/>
            <w:r>
              <w:rPr>
                <w:b w:val="1"/>
                <w:bCs w:val="1"/>
              </w:rPr>
              <w:t xml:space="preserve">Яратиладиган иш ўрни: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975 та.</w:t>
            </w:r>
          </w:p>
          <w:p>
            <w:pPr/>
            <w:r>
              <w:rPr>
                <w:b w:val="1"/>
                <w:bCs w:val="1"/>
              </w:rPr>
              <w:t xml:space="preserve">Лойиҳани қиймати:</w:t>
            </w:r>
            <w:r>
              <w:rPr/>
              <w:t xml:space="preserve"> 500,13 млн. долл.</w:t>
            </w:r>
          </w:p>
          <w:p>
            <w:pPr/>
            <w:r>
              <w:rPr>
                <w:b w:val="1"/>
                <w:bCs w:val="1"/>
              </w:rPr>
              <w:t xml:space="preserve">Молиялаштириш манбалари:</w:t>
            </w:r>
            <w:r>
              <w:rPr/>
              <w:t xml:space="preserve"> Хитойнинг Эксимбанки кредити – </w:t>
            </w:r>
            <w:r>
              <w:rPr>
                <w:b w:val="1"/>
                <w:bCs w:val="1"/>
              </w:rPr>
              <w:t xml:space="preserve">373,8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млн. долл.,</w:t>
            </w:r>
            <w:r>
              <w:rPr/>
              <w:t xml:space="preserve"> “Навоиазот” АЖ маблағлари – </w:t>
            </w:r>
            <w:r>
              <w:rPr>
                <w:b w:val="1"/>
                <w:bCs w:val="1"/>
              </w:rPr>
              <w:t xml:space="preserve">60,3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млн. долл.,</w:t>
            </w:r>
            <w:r>
              <w:rPr/>
              <w:t xml:space="preserve"> Тикланиш ва тараққиёт жамғармаси кредити – </w:t>
            </w:r>
            <w:r>
              <w:rPr>
                <w:b w:val="1"/>
                <w:bCs w:val="1"/>
              </w:rPr>
              <w:t xml:space="preserve">65,97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млн. долл.</w:t>
            </w:r>
          </w:p>
          <w:p>
            <w:pPr/>
            <w:r>
              <w:rPr>
                <w:b w:val="1"/>
                <w:bCs w:val="1"/>
              </w:rPr>
              <w:t xml:space="preserve">Шундан, </w:t>
            </w:r>
          </w:p>
          <w:p>
            <w:pPr/>
            <w:r>
              <w:rPr/>
              <w:t xml:space="preserve">Қурилиш-монтаж ишларига харажатлар – 198,42 млн долл.;</w:t>
            </w:r>
          </w:p>
          <w:p>
            <w:pPr/>
            <w:r>
              <w:rPr/>
              <w:t xml:space="preserve">– ускуналар сотиб олишга – 277,76 млн долл.;</w:t>
            </w:r>
          </w:p>
          <w:p>
            <w:pPr/>
            <w:r>
              <w:rPr/>
              <w:t xml:space="preserve">– ва бошқа харажатлар (лойиҳалаш, молиявий харажатлар ва дастлабки айланма капитал ва бошқалар) – 23,94 млн долл.</w:t>
            </w:r>
          </w:p>
          <w:p>
            <w:pPr/>
            <w:r>
              <w:rPr>
                <w:b w:val="1"/>
                <w:bCs w:val="1"/>
              </w:rPr>
              <w:t xml:space="preserve">Бугунги кундаги хорижий валютадаги қарздорлик миқдори: </w:t>
            </w:r>
            <w:r>
              <w:rPr/>
              <w:t xml:space="preserve">315,0 млн. долл.</w:t>
            </w:r>
          </w:p>
          <w:p>
            <w:pPr/>
            <w:r>
              <w:rPr>
                <w:b w:val="1"/>
                <w:bCs w:val="1"/>
              </w:rPr>
              <w:t xml:space="preserve">Лойиҳа ишга туширилган сана:</w:t>
            </w:r>
            <w:r>
              <w:rPr/>
              <w:t xml:space="preserve"> 2019 йил декабрь.</w:t>
            </w:r>
          </w:p>
          <w:p>
            <w:pPr/>
            <w:r>
              <w:rPr>
                <w:b w:val="1"/>
                <w:bCs w:val="1"/>
              </w:rPr>
              <w:t xml:space="preserve">Жойлаштириш жойи:</w:t>
            </w:r>
            <w:r>
              <w:rPr/>
              <w:t xml:space="preserve"> Навоий вилояти, Навоий шаҳри, «Навоийазот» АЖ.</w:t>
            </w:r>
          </w:p>
          <w:p>
            <w:pPr/>
            <w:r>
              <w:rPr>
                <w:b w:val="1"/>
                <w:bCs w:val="1"/>
              </w:rPr>
              <w:t xml:space="preserve">Бош пудратчи:</w:t>
            </w:r>
            <w:r>
              <w:rPr/>
              <w:t xml:space="preserve"> – Хитой Халқ Республикасининг “China CAMCE Engineering Co., LTD” ва “HQC Shanghai Company” компаниялари консортциуми.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https://new.uzkimyosanoat.uz/uz/external-debt/polivinilxlorid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