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10-январ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Бошқа ташкилотлар билан ўзаро алоқалар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Ўзбекистон Республикаси Тикланиш ва тараққиёт жамғармаси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Ўзбекистон Республикаси Иқтисодиёт ва молия вазирлиги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Ўзбекистон Республикаси давлат активларини бошқариш агентлиги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10" w:history="1">
                    <w:r>
                      <w:rPr/>
                      <w:t xml:space="preserve">"Қимматли қоғозлар марказий депозитарийси" Акциядорлик жамияти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11" w:history="1">
                    <w:r>
                      <w:rPr/>
                      <w:t xml:space="preserve">Республика фонд биржаси “Тошкент”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https://new.uzkimyosanoat.uz/uz/corporate/interactions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