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 йил 5-январ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Акциядорлик капитали тизими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“Ўзкимёсаноат” АЖ акциядорлик капитали тузилмаси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Акция эгалари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Акциядорлик капиталидаги улуши, 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Иқтисодиёт ва молия вазирлиги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42,91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Тикланиш ва тараққиёт жамғармаси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57,09</w:t>
                  </w:r>
                </w:p>
              </w:tc>
            </w:tr>
          </w:tbl>
          <w:p>
            <w:pPr>
              <w:jc w:val="center"/>
            </w:pPr>
            <w:r>
              <w:rPr>
                <w:b w:val="1"/>
                <w:bCs w:val="1"/>
              </w:rPr>
              <w:t xml:space="preserve">“Ўзкимёсаноат” АЖнинг акциялари тўғрисида умумий маълумот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Акция тури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эгасини номи ёзилган оддий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Акция шакли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ҳужжатсиз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Акция сони (дона)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2 927 710 704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 дона акциянинг номинал қиймати(сум)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1 145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Акция чиқариш умумий хажми (сум)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3 352 228 756 080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https://new.uzkimyosanoat.uz/uz/corporate/equity-structure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