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25-май</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акциядорлик жамиятининг кузатув кенгаши тўғрисидаги низом (янги таҳрир)</w:t>
      </w:r>
    </w:p>
    <w:bookmarkEnd w:id="0"/>
    <w:p w14:paraId="522BF26F" w14:textId="3F0F523B" w:rsidR="00A048F3" w:rsidRDefault="00A048F3">
      <w:pPr>
        <w:rPr>
          <w:sz w:val="28"/>
          <w:szCs w:val="28"/>
          <w:lang w:val="ru-RU"/>
        </w:rPr>
      </w:pPr>
    </w:p>
    <w:tbl>
      <w:tblGrid>
        <w:gridCol/>
      </w:tblGrid>
      <w:tr>
        <w:trPr/>
        <w:tc>
          <w:tcPr>
            <w:noWrap/>
          </w:tcPr>
          <w:p>
            <w:pPr/>
            <w:r>
              <w:rPr/>
              <w:t xml:space="preserve">Ушбу низом Ўзбекистон Республикасининг “Акциядорлик жамиятлари ва акциядорларнинг ҳуқуқларини ҳимоя қилиш тўғрисида”ги Қонунига, Акциядорлик жамиятлари фаолиятининг самарадорлигини ошириш ва корпоратив бошқарув тизимини такомиллаштириш комиссияси йиғилишларининг баённомалари билан (11.02.2016-й. 02-02/1-187-сон) ва (27.04.2018-й. 24/1-989-сон) тасдиқланган Корпоратив бошқарув кодекси ва Давлат иштирокидаги корхоналар учун корпоратив бошқарув қоидаларининг тавсияларига ва “Ўзкимёсаноат” АЖ (матн бўйича Жамият) уставига мувофиқ ишлаб чиқилган ҳамда Жамият кузатув кенгаши мақомини, функцияларини, ҳуқуқларини (ваколатларини) ҳамда мажбуриятларини, унинг аъзоларини сайлаш ва уларни ишлаш тартибини белгилаб беради.</w:t>
            </w:r>
          </w:p>
          <w:p>
            <w:pPr/>
            <w:hyperlink r:id="rId7" w:history="1">
              <w:r>
                <w:rPr/>
                <w:t xml:space="preserve">Ҳужжатни юклаб олиш</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https://new.uzkimyosanoat.uz/uz/corporate/documents/supervisory-board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