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11-сентябр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2019 йилдаги соф фойдани тақсимлаш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2019 йил учун</w:t>
            </w:r>
          </w:p>
          <w:tbl>
            <w:tblGrid>
              <w:gridCol/>
              <w:gridCol/>
              <w:gridCol/>
              <w:gridCol w:w="1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Т/р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Фоиз</w:t>
                  </w:r>
                </w:p>
              </w:tc>
              <w:tc>
                <w:tcPr>
                  <w:tcW w:w="1000" w:type="pct"/>
                  <w:noWrap/>
                </w:tcPr>
                <w:p>
                  <w:pPr/>
                  <w:r>
                    <w:rPr/>
                    <w:t xml:space="preserve">Сумма (минг. сўм)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 соф фойда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25 346 152,9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жамиятнинг захира фондига (Ўзбекистон Республикасининг "Акциядорлик жамиятлари ва акциядорларнинг ҳуқуқларини ҳимоя қилиш тўғрисида"ги Қонуни 32-моддасига асосан)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1 267 307,7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инновацион фаолиятни қўллаб-қувватлаш жамғармасига (Ўзбекистон Республикаси Вазирлар Маҳкамасининг 12.01.2018 йилдаги 24-сон ва 12.03.2018 йилдаги 195-сон қарорларига асосан)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2 534 615,3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меҳнатни муҳофаза қилиш жамғармасига (Ўзбекистон Республикаси Вазирлар Маҳкамасининг 12.11.2008 йилдаги 245-сон қарори ва жамғарма тўғрисидаги Низомга асосан)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253 461,5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 устав фондини кейинчалик капитализация қилиш ва мазкур маблағни жамият томонидан Янгиер шаҳридаги "Аммиак ва карбамид ишлаб чиқаришни ташкил этиш" инвестиция лойиҳасини молиялаштириш учун мақсадли ишлатиш шарти билан жамиятни ривожлантиришга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8 617 692,0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дивидендга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12 673 076,4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https://new.uzkimyosanoat.uz/uz/corporate/disclosure/profit/p2019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