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 йил 9-август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Эмитентнинг 2024 йил иккинчи чорак якунлари бўйича ҳисоботи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https://new.uzkimyosanoat.uz/uz/corporate/disclosure/financial-reports/quarterly-reports/report202406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