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2024 йил 31-июл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Эмитентнинг 2024 йил биринчи чорак якунлари бўйича ҳисоботи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https://new.uzkimyosanoat.uz/uz/corporate/disclosure/financial-reports/quarterly-reports/report202403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