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 йил 31-июл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Эмитентнинг 2023 йил якунлари бўйича йиллик ҳисоботи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https://new.uzkimyosanoat.uz/uz/corporate/disclosure/financial-reports/annual-reports/report-2023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