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2019 йил 15-апрел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Муҳим факт тўғрисида маълумот, №8, 29.06.2018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tbl>
            <w:tblGrid>
              <w:gridCol/>
              <w:gridCol/>
              <w:gridCol/>
            </w:tblGrid>
            <w:tblPr>
              <w:tblW w:w="0" w:type="auto"/>
              <w:tblLayout w:type="autofit"/>
            </w:tblPr>
            <w:tr>
              <w:trPr/>
              <w:tc>
                <w:tcPr>
                  <w:gridSpan w:val="4"/>
                  <w:noWrap/>
                </w:tcPr>
                <w:p>
                  <w:pPr>
                    <w:jc w:val="center"/>
                  </w:pPr>
                  <w:r>
                    <w:rPr>
                      <w:b w:val="1"/>
                      <w:bCs w:val="1"/>
                    </w:rPr>
                    <w:t xml:space="preserve">ҚИММАТЛИ ҚОҒОЗЛАР БЎЙИЧА ДАРОМАДЛАРНИ ҲИСОБЛАШ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1.</w:t>
                  </w:r>
                </w:p>
              </w:tc>
              <w:tc>
                <w:tcPr>
                  <w:gridSpan w:val="3"/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ЭМИТЕНТ НОМИ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Тўлиқ: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"O'zkimyosanoat" aksiyadorlik jamiyati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Қисқартирилган: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"O'zkimyosanoat" AJ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Биржа тикери номи: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Маълумот йўқ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2.</w:t>
                  </w:r>
                </w:p>
              </w:tc>
              <w:tc>
                <w:tcPr>
                  <w:gridSpan w:val="3"/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БОҒЛАНИШ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Жойлашган ери: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Тошкент шахар Шайхонтахур тумани, Навоий, 38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Почта манзили: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Тошкент шахар Шайхонтахур тумани, Навоий, 38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Электрон почта манзили: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hyperlink r:id="rId7" w:history="1">
                    <w:r>
                      <w:rPr/>
                      <w:t xml:space="preserve">uzkimyosanoat@uks.uz</w:t>
                    </w:r>
                  </w:hyperlink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Расмий веб-сайт: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hyperlink r:id="rId8" w:history="1">
                    <w:r>
                      <w:rPr/>
                      <w:t xml:space="preserve">www.uzkimyosanoat.uz</w:t>
                    </w:r>
                  </w:hyperlink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3.</w:t>
                  </w:r>
                </w:p>
              </w:tc>
              <w:tc>
                <w:tcPr>
                  <w:gridSpan w:val="3"/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МУҲИМ ФАКТ ТЎҒРИСИДА МАЪЛУМОТ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Муҳим факт рақами: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32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Муҳим факт номи: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Қимматли қоғозлар бўйича даромадларни ҳисоблаш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Қарор қабул қилувчи эмитент номи: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АУЙ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Қарор қабул қилинган сана: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29.06.2018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Эмитент органи мажлисининг (йиғилишининг) баённомасини тузиш санаси: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06.07.2018</w:t>
                  </w:r>
                </w:p>
              </w:tc>
            </w:tr>
            <w:tr>
              <w:trPr/>
              <w:tc>
                <w:tcPr>
                  <w:gridSpan w:val="3"/>
                  <w:noWrap/>
                </w:tcPr>
                <w:p>
                  <w:pPr/>
                  <w:r>
                    <w:rPr/>
                    <w:t xml:space="preserve">Оддий акцияларга дивиденд тўловларини ўтказиш: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битта акциянинг сўмдаги қиймати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3.6000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битта акциянинг фоиздаги номинал қиймати :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0.27</w:t>
                  </w:r>
                </w:p>
              </w:tc>
            </w:tr>
            <w:tr>
              <w:trPr/>
              <w:tc>
                <w:tcPr>
                  <w:gridSpan w:val="3"/>
                  <w:noWrap/>
                </w:tcPr>
                <w:p>
                  <w:pPr/>
                  <w:r>
                    <w:rPr/>
                    <w:t xml:space="preserve">Имтиёзли акцияларга диведенд тўловларини ўтказиш: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битта акциянинг сўмдаги қиймати: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0.0000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битта акциянинг фоиздаги номинал қиймати :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0.00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Қимматли қоғозлар бўйича тўловларнинг бошланиш ва якунланиш сана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Бошланиш санаси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Якунланиш санаси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оддий акциялар бўйича: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21.07.2018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29.08.2018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имтиёзли акциялар бўйича: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Қимматли қоғозлар бўйича тўловлар шакли: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-</w:t>
                  </w:r>
                </w:p>
              </w:tc>
            </w:tr>
          </w:tbl>
          <w:p/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"Ўзкимёсаноат" акциядорлик жамияти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https://new.uzkimyosanoat.uz/uz/corporate/disclosure/facts/muhim-fakt-tugrisida-malumot-8-29-06-2018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