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28-май</w:t>
      </w:r>
    </w:p>
    <w:p w14:paraId="65A7E376" w14:textId="29A957ED" w:rsidR="004D4932" w:rsidRPr="00A048F3" w:rsidRDefault="00A048F3" w:rsidP="00AD52D5">
      <w:pPr>
        <w:rPr>
          <w:b/>
          <w:sz w:val="32"/>
          <w:szCs w:val="28"/>
          <w:lang w:val="en-US"/>
        </w:rPr>
      </w:pPr>
      <w:bookmarkStart w:id="0" w:name="_GoBack"/>
      <w:r>
        <w:rPr>
          <w:b/>
          <w:sz w:val="32"/>
          <w:szCs w:val="28"/>
          <w:lang w:val="en-US"/>
        </w:rPr>
        <w:t>«Comply or explain» («риояқил ёки тушунтир») халқаро тамойилига асосан эълон</w:t>
      </w:r>
    </w:p>
    <w:bookmarkEnd w:id="0"/>
    <w:p w14:paraId="522BF26F" w14:textId="3F0F523B" w:rsidR="00A048F3" w:rsidRDefault="00A048F3">
      <w:pPr>
        <w:rPr>
          <w:sz w:val="28"/>
          <w:szCs w:val="28"/>
          <w:lang w:val="ru-RU"/>
        </w:rPr>
      </w:pPr>
    </w:p>
    <w:tbl>
      <w:tblGrid>
        <w:gridCol/>
      </w:tblGrid>
      <w:tr>
        <w:trPr/>
        <w:tc>
          <w:tcPr>
            <w:noWrap/>
          </w:tcPr>
          <w:tbl>
            <w:tblGrid>
              <w:gridCol w:w="2500" w:type="dxa"/>
              <w:gridCol/>
            </w:tblGrid>
            <w:tblPr>
              <w:tblW w:w="0" w:type="auto"/>
              <w:tblLayout w:type="autofit"/>
            </w:tblPr>
            <w:tr>
              <w:trPr/>
              <w:tc>
                <w:tcPr>
                  <w:tcW w:w="2500" w:type="pct"/>
                  <w:noWrap/>
                </w:tcPr>
                <w:p>
                  <w:pPr>
                    <w:jc w:val="center"/>
                  </w:pPr>
                  <w:r>
                    <w:rPr>
                      <w:b w:val="1"/>
                      <w:bCs w:val="1"/>
                    </w:rPr>
                    <w:t xml:space="preserve">Кодекс тавсияларига риоя қилинмаган йўналишлари</w:t>
                  </w:r>
                </w:p>
              </w:tc>
              <w:tc>
                <w:tcPr>
                  <w:noWrap/>
                </w:tcPr>
                <w:p>
                  <w:pPr>
                    <w:jc w:val="center"/>
                  </w:pPr>
                  <w:r>
                    <w:rPr>
                      <w:b w:val="1"/>
                      <w:bCs w:val="1"/>
                    </w:rPr>
                    <w:t xml:space="preserve">Тушунтиришлар</w:t>
                  </w:r>
                </w:p>
              </w:tc>
            </w:tr>
            <w:tr>
              <w:trPr/>
              <w:tc>
                <w:tcPr>
                  <w:gridSpan w:val="2"/>
                  <w:noWrap/>
                </w:tcPr>
                <w:p>
                  <w:pPr>
                    <w:jc w:val="center"/>
                  </w:pPr>
                  <w:r>
                    <w:rPr>
                      <w:b w:val="1"/>
                      <w:bCs w:val="1"/>
                    </w:rPr>
                    <w:t xml:space="preserve">Танлов ўтказишни баҳолаш</w:t>
                  </w:r>
                </w:p>
              </w:tc>
            </w:tr>
            <w:tr>
              <w:trPr/>
              <w:tc>
                <w:tcPr>
                  <w:noWrap/>
                </w:tcPr>
                <w:p>
                  <w:pPr/>
                  <w:r>
                    <w:rPr/>
                    <w:t xml:space="preserve">Ижроия органи раҳбари ва аъзоларини танловини ўтказиш бўйича Регламент мажвуд эмас.</w:t>
                  </w:r>
                </w:p>
              </w:tc>
              <w:tc>
                <w:tcPr>
                  <w:noWrap/>
                </w:tcPr>
                <w:p>
                  <w:pPr/>
                  <w:r>
                    <w:rPr/>
                    <w:t xml:space="preserve">Айни пайтда ички ҳужжатлар, ижроия органига номзодларни танлаш бўйича Регламент ишлаб чиқилмоқда.</w:t>
                  </w:r>
                </w:p>
              </w:tc>
            </w:tr>
            <w:tr>
              <w:trPr/>
              <w:tc>
                <w:tcPr>
                  <w:gridSpan w:val="2"/>
                  <w:noWrap/>
                </w:tcPr>
                <w:p>
                  <w:pPr>
                    <w:jc w:val="center"/>
                  </w:pPr>
                  <w:r>
                    <w:rPr>
                      <w:b w:val="1"/>
                      <w:bCs w:val="1"/>
                    </w:rPr>
                    <w:t xml:space="preserve">Корпоратив бошқарув кодекси тавсияларига амал қилинишини баҳолаш</w:t>
                  </w:r>
                </w:p>
              </w:tc>
            </w:tr>
            <w:tr>
              <w:trPr/>
              <w:tc>
                <w:tcPr>
                  <w:noWrap/>
                </w:tcPr>
                <w:p>
                  <w:pPr/>
                  <w:r>
                    <w:rPr/>
                    <w:t xml:space="preserve">Кузатув кенгашига мустақил аъзоларни киритиш.</w:t>
                  </w:r>
                </w:p>
              </w:tc>
              <w:tc>
                <w:tcPr>
                  <w:noWrap/>
                </w:tcPr>
                <w:p>
                  <w:pPr/>
                  <w:r>
                    <w:rPr/>
                    <w:t xml:space="preserve">Ўзбекистон Республикаси Президентининг 2020 йил 27 октябрдаги ПФ-6096-сон Фармони ва Ўзбекистон Республикаси Вазирлар Маҳкамасининг 2021 йил 29 мартдаги 166-сон қарори талабларига мувофиқ кузатув кенгашларига халқаро танлов асосида чет эллик соҳа мутахассисларини (жумладан, ватандошларни) фаол жалб этиш орқали кузатув кенгашлари таркибининг камида 30 фоизини малакали халқаро мутахассислар билан тўлдириш бўйича ички ҳужжатларга тегишли ўзгартириш ва қўшимчалар киритиш ишлари олиб борилмоқда. Шунингдек, жамият Кузатув кенгашига мустақил аъзоларни жалб қилиш бўйича танлов ҳужжатлари, хусусан техник топшириқлар ишлаб чиқилди ва ягона акциядорга киритилди.</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https://new.uzkimyosanoat.uz/uz/corporate/announcement/comply-or-explain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