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НПК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spacing w:after="165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</w:rPr>
              <w:t xml:space="preserve">1. Тавсиф:</w:t>
            </w:r>
            <w:br/>
            <w:r>
              <w:rPr>
                <w:rFonts w:ascii="Calibri" w:hAnsi="Calibri" w:eastAsia="Calibri" w:cs="Calibri"/>
                <w:sz w:val="24"/>
                <w:szCs w:val="24"/>
              </w:rPr>
              <w:t xml:space="preserve">Азот, фосфор ва калий таркибли мураккаб ўғитлар</w:t>
            </w: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</w:rPr>
              <w:t xml:space="preserve">.</w:t>
            </w:r>
          </w:p>
          <w:p>
            <w:pPr>
              <w:spacing w:after="165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</w:rPr>
              <w:t xml:space="preserve">2. Техник хусусиятлари:</w:t>
            </w:r>
            <w:br/>
            <w:r>
              <w:rPr>
                <w:rFonts w:ascii="Calibri" w:hAnsi="Calibri" w:eastAsia="Calibri" w:cs="Calibri"/>
                <w:sz w:val="24"/>
                <w:szCs w:val="24"/>
              </w:rPr>
              <w:t xml:space="preserve">Масалан: 15-15-15, 16-16-16 ва бошқалар.</w:t>
            </w:r>
          </w:p>
          <w:p>
            <w:pPr>
              <w:spacing w:after="165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</w:rPr>
              <w:t xml:space="preserve">3. Кимёвий таркиби:</w:t>
            </w:r>
            <w:br/>
            <w:r>
              <w:rPr>
                <w:rFonts w:ascii="Calibri" w:hAnsi="Calibri" w:eastAsia="Calibri" w:cs="Calibri"/>
                <w:sz w:val="24"/>
                <w:szCs w:val="24"/>
              </w:rPr>
              <w:t xml:space="preserve">НҲ₄НО₃, НҲ₄Ҳ₂ПО₄, КCл/К₂СО₄ ва бошқа аралашмалар.</w:t>
            </w:r>
          </w:p>
          <w:p>
            <w:pPr>
              <w:spacing w:after="165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</w:rPr>
              <w:t xml:space="preserve">4. Чиқарилиш шакли:</w:t>
            </w:r>
            <w:br/>
            <w:r>
              <w:rPr>
                <w:rFonts w:ascii="Calibri" w:hAnsi="Calibri" w:eastAsia="Calibri" w:cs="Calibri"/>
                <w:sz w:val="24"/>
                <w:szCs w:val="24"/>
              </w:rPr>
              <w:t xml:space="preserve">Гранулалар</w:t>
            </w:r>
          </w:p>
          <w:p>
            <w:pPr>
              <w:spacing w:after="165"/>
            </w:pPr>
            <w:r>
              <w:rPr>
                <w:rFonts w:ascii="Calibri" w:hAnsi="Calibri" w:eastAsia="Calibri" w:cs="Calibri"/>
                <w:sz w:val="24"/>
                <w:szCs w:val="24"/>
                <w:b w:val="1"/>
                <w:bCs w:val="1"/>
              </w:rPr>
              <w:t xml:space="preserve">5. Қўлланилиши:</w:t>
            </w:r>
            <w:br/>
            <w:r>
              <w:rPr>
                <w:rFonts w:ascii="Calibri" w:hAnsi="Calibri" w:eastAsia="Calibri" w:cs="Calibri"/>
                <w:sz w:val="24"/>
                <w:szCs w:val="24"/>
              </w:rPr>
              <w:t xml:space="preserve">Барча экинлар учун универсал ўғит сифатида қўлланилади.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https://new.uzkimyosanoat.uz/uz/company/product/mineral-fertilizers/npk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