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февраля 2014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Тендерные торги по закупке товаров, работ и услуг в рамках реализации проекта «Реконструкция и модернизация производства карбамида и аммиачной селитры в ОАО «Ферганаазот»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тендерных торгах могут принять участие как иностранные фирмы и организации, так и отечественные производители (поставщики), в том числе субъекты малого бизнеса, имеющие опыт поставки соответствующих объемов закупаемой на тендерной основе продукции, а также являющиеся производителями предлагаемой продукции и/или их авторизованными поставщиками.</w:t>
            </w:r>
          </w:p>
          <w:p>
            <w:pPr/>
            <w:r>
              <w:rPr>
                <w:b w:val="1"/>
                <w:bCs w:val="1"/>
              </w:rPr>
              <w:t xml:space="preserve">1.</w:t>
            </w:r>
            <w:r>
              <w:rPr/>
              <w:t xml:space="preserve"> Наименование и адрес рабочего органа Межведомственной тендерной комиссии:</w:t>
            </w:r>
          </w:p>
          <w:p>
            <w:pPr/>
            <w:r>
              <w:rPr/>
              <w:t xml:space="preserve">Агентство «Узбектендерконсалтинг» МВЭСИТ Республики Узбекистан.</w:t>
            </w:r>
          </w:p>
          <w:p>
            <w:pPr/>
            <w:r>
              <w:rPr/>
              <w:t xml:space="preserve">Республика Узбекистан, 100077, г. Ташкент, проспект Мустакиллик, 107</w:t>
            </w:r>
          </w:p>
          <w:p>
            <w:pPr/>
            <w:r>
              <w:rPr/>
              <w:t xml:space="preserve">тел: (99871) 2385342, факс: (99871) 2682596. </w:t>
            </w:r>
            <w:hyperlink r:id="rId7" w:history="1">
              <w:r>
                <w:rPr/>
                <w:t xml:space="preserve">www.uztender.uz</w:t>
              </w:r>
            </w:hyperlink>
            <w:r>
              <w:rPr/>
              <w:t xml:space="preserve">, e-mail: </w:t>
            </w:r>
            <w:hyperlink r:id="rId8" w:history="1">
              <w:r>
                <w:rPr/>
                <w:t xml:space="preserve">info@uztender.uz</w:t>
              </w:r>
            </w:hyperlink>
          </w:p>
          <w:p>
            <w:pPr/>
            <w:r>
              <w:rPr>
                <w:b w:val="1"/>
                <w:bCs w:val="1"/>
              </w:rPr>
              <w:t xml:space="preserve">2.</w:t>
            </w:r>
            <w:r>
              <w:rPr/>
              <w:t xml:space="preserve"> Предмет тендерных торгов:</w:t>
            </w:r>
          </w:p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Наименование тендера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№ позиции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Тендер №UTC-14/05 (Лот №1) «</w:t>
                  </w:r>
                  <w:r>
                    <w:rPr/>
                    <w:t xml:space="preserve">Трубчатая печь конверсии метана I ступени - замена футеровки печи (свод, стены, под печи и коллекторы)»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107 Блок 1.2.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Тендер №UTC-14/06 (Лот №2) «</w:t>
                  </w:r>
                  <w:r>
                    <w:rPr/>
                    <w:t xml:space="preserve">Дымосос с приводом от паровой турбины с противодавлением</w:t>
                  </w:r>
                  <w:br/>
                  <w:r>
                    <w:rPr/>
                    <w:t xml:space="preserve">            Паровая турбина ПЦПЛ-700 - замена зубчатой пары с колесом Кертиса»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121 А,Б Блок 1.2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Тендер №UTC-14/07 (Лот №3), в том числе: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Центробежный насос для подачи раствора МДЭА II потока на абсорбер с приводом от паровой турбины. Паровая турбина GT-40 - замена запчастей паровой турбины (зубчатая пара с колесом Кертиса)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314А Блок 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Центробежный насос для подачи раствора МДЭА I потока на абсорбер - замена электродвигателя на паровую турбину GT-40 в комплекте (восстановление паровой турбины): паровая турбина; редуктор; регулятор; масляный насос; холодильник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315А Блок 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Тендер №UTC-14/08 (Лот №4) </w:t>
                  </w:r>
                  <w:r>
                    <w:rPr/>
                    <w:t xml:space="preserve">«Установка отмывки аммиака из продувочных и танковых газов (новая)»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Тендер №UTC-14/09 (Лот №5), в том числе: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Погружной насос - замена насоса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Н-16/1,2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Центробежный насос (конденсатный) низкого давления - замена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Р-903А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Тендер №UTC-14/10 (Лот №6) </w:t>
                  </w:r>
                  <w:r>
                    <w:rPr/>
                    <w:t xml:space="preserve">«Нагнетатель воздуха (резервный)»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В-12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Тендер №UTC-14/11 (Лот №7) «</w:t>
                  </w:r>
                  <w:r>
                    <w:rPr/>
                    <w:t xml:space="preserve">Гранулятор плава аммиачной селитры»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Х-26/1-6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Тендер №UTC-14/12 (Лот №8) «</w:t>
                  </w:r>
                  <w:r>
                    <w:rPr/>
                    <w:t xml:space="preserve">Инжектор высокого давления - замена инжектора»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J-201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Тендер №UTC-14/13 (Лот №9) «</w:t>
                  </w:r>
                  <w:r>
                    <w:rPr/>
                    <w:t xml:space="preserve">Блоки оросителей градирни в количестве 2000 шт.»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ВОЦ-9</w:t>
                  </w:r>
                </w:p>
              </w:tc>
            </w:tr>
          </w:tbl>
          <w:p>
            <w:pPr/>
            <w:r>
              <w:rPr>
                <w:b w:val="1"/>
                <w:bCs w:val="1"/>
              </w:rPr>
              <w:t xml:space="preserve">3.</w:t>
            </w:r>
            <w:r>
              <w:rPr/>
              <w:t xml:space="preserve"> Условия поставки, сроки поставки и условия оплаты указаны в информации по тендерным торгам и в тендерной документации.</w:t>
            </w:r>
          </w:p>
          <w:p>
            <w:pPr/>
            <w:r>
              <w:rPr>
                <w:b w:val="1"/>
                <w:bCs w:val="1"/>
              </w:rPr>
              <w:t xml:space="preserve">4.</w:t>
            </w:r>
            <w:r>
              <w:rPr/>
              <w:t xml:space="preserve"> До начала тендера, тендерной комиссией будет проводиться квалификационный отбор претендентов.</w:t>
            </w:r>
          </w:p>
          <w:p>
            <w:pPr/>
            <w:r>
              <w:rPr>
                <w:b w:val="1"/>
                <w:bCs w:val="1"/>
              </w:rPr>
              <w:t xml:space="preserve">5.</w:t>
            </w:r>
            <w:r>
              <w:rPr/>
              <w:t xml:space="preserve"> Стоимость тендерной документации, сумма гарантии тендерного предложения и порядок ее внесения, банковские реквизиты для оплаты за тендерную документацию отражены в информации по тендерным торгам и тендерной документации.</w:t>
            </w:r>
          </w:p>
          <w:p>
            <w:pPr/>
            <w:r>
              <w:rPr>
                <w:b w:val="1"/>
                <w:bCs w:val="1"/>
              </w:rPr>
              <w:t xml:space="preserve">6.</w:t>
            </w:r>
            <w:r>
              <w:rPr/>
              <w:t xml:space="preserve"> Последний срок приема тендерных предложений </w:t>
            </w:r>
            <w:r>
              <w:rPr>
                <w:b w:val="1"/>
                <w:bCs w:val="1"/>
              </w:rPr>
              <w:t xml:space="preserve">до 15-00 часов ташкентского времени 10 марта 2014г.</w:t>
            </w:r>
          </w:p>
          <w:p>
            <w:pPr/>
            <w:r>
              <w:rPr>
                <w:b w:val="1"/>
                <w:bCs w:val="1"/>
              </w:rPr>
              <w:t xml:space="preserve">7.</w:t>
            </w:r>
            <w:r>
              <w:rPr/>
              <w:t xml:space="preserve"> За дополнительной информацией по условиям проведения тендерных торгов обращаться в агентство «Узбектендерконсалтинг» по вышеуказанным реквизитам.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https://new.uzkimyosanoat.uz/ru/press/tender/tender2014ferghana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