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15 апреля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Капитальный ремонт подвальный части административного здания АО «Узкимёсаноат»</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Приглашение к участию в конкурсных торгах (тендер)</w:t>
            </w:r>
          </w:p>
          <w:tbl>
            <w:tblGrid>
              <w:gridCol/>
              <w:gridCol/>
            </w:tblGrid>
            <w:tblPr>
              <w:tblW w:w="0" w:type="auto"/>
              <w:tblLayout w:type="autofit"/>
            </w:tblPr>
            <w:tr>
              <w:trPr/>
              <w:tc>
                <w:tcPr>
                  <w:noWrap/>
                </w:tcPr>
                <w:p>
                  <w:pPr/>
                  <w:r>
                    <w:rPr/>
                    <w:t xml:space="preserve">Дата</w:t>
                  </w:r>
                </w:p>
              </w:tc>
              <w:tc>
                <w:tcPr>
                  <w:noWrap/>
                </w:tcPr>
                <w:p>
                  <w:pPr/>
                  <w:r>
                    <w:rPr/>
                    <w:t xml:space="preserve">13 апреля 2021 года.</w:t>
                  </w:r>
                </w:p>
              </w:tc>
            </w:tr>
            <w:tr>
              <w:trPr/>
              <w:tc>
                <w:tcPr>
                  <w:noWrap/>
                </w:tcPr>
                <w:p>
                  <w:pPr/>
                  <w:r>
                    <w:rPr/>
                    <w:t xml:space="preserve">Крайний срок подачи предложений (оферт)</w:t>
                  </w:r>
                </w:p>
              </w:tc>
              <w:tc>
                <w:tcPr>
                  <w:noWrap/>
                </w:tcPr>
                <w:p>
                  <w:pPr/>
                  <w:r>
                    <w:rPr/>
                    <w:t xml:space="preserve">23 апреля 2021 года, 18:00 (время ташкентское)</w:t>
                  </w:r>
                </w:p>
              </w:tc>
            </w:tr>
            <w:tr>
              <w:trPr/>
              <w:tc>
                <w:tcPr>
                  <w:noWrap/>
                </w:tcPr>
                <w:p>
                  <w:pPr/>
                  <w:r>
                    <w:rPr/>
                    <w:t xml:space="preserve">Наименование проекта</w:t>
                  </w:r>
                </w:p>
              </w:tc>
              <w:tc>
                <w:tcPr>
                  <w:noWrap/>
                </w:tcPr>
                <w:p>
                  <w:pPr/>
                  <w:r>
                    <w:rPr/>
                    <w:t xml:space="preserve">Капитальный ремонт подвальный част административного здания АО «Узкимёсаноат»</w:t>
                  </w:r>
                </w:p>
              </w:tc>
            </w:tr>
            <w:tr>
              <w:trPr/>
              <w:tc>
                <w:tcPr>
                  <w:noWrap/>
                </w:tcPr>
                <w:p>
                  <w:pPr/>
                  <w:r>
                    <w:rPr/>
                    <w:t xml:space="preserve">Предельная стоимость заказчика</w:t>
                  </w:r>
                </w:p>
              </w:tc>
              <w:tc>
                <w:tcPr>
                  <w:noWrap/>
                </w:tcPr>
                <w:p>
                  <w:pPr/>
                  <w:r>
                    <w:rPr/>
                    <w:t xml:space="preserve">2 806 534 887 сум с учетом с НДС</w:t>
                  </w:r>
                </w:p>
              </w:tc>
            </w:tr>
            <w:tr>
              <w:trPr/>
              <w:tc>
                <w:tcPr>
                  <w:noWrap/>
                </w:tcPr>
                <w:p>
                  <w:pPr/>
                  <w:r>
                    <w:rPr/>
                    <w:t xml:space="preserve">Срок начала и окончания работ</w:t>
                  </w:r>
                </w:p>
              </w:tc>
              <w:tc>
                <w:tcPr>
                  <w:noWrap/>
                </w:tcPr>
                <w:p>
                  <w:pPr/>
                  <w:r>
                    <w:rPr/>
                    <w:t xml:space="preserve">4 месяца с момента подписания подрядного договора</w:t>
                  </w:r>
                </w:p>
              </w:tc>
            </w:tr>
            <w:tr>
              <w:trPr/>
              <w:tc>
                <w:tcPr>
                  <w:noWrap/>
                </w:tcPr>
                <w:p>
                  <w:pPr/>
                  <w:r>
                    <w:rPr/>
                    <w:t xml:space="preserve">Требования к безопасности выполнения работ</w:t>
                  </w:r>
                </w:p>
              </w:tc>
              <w:tc>
                <w:tcPr>
                  <w:noWrap/>
                </w:tcPr>
                <w:p>
                  <w:pPr/>
                  <w:r>
                    <w:rPr/>
                    <w:t xml:space="preserve">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возлогается на подрядчика, ответственный назначается приказом, копия приказа предоставляется заказчику. Подрядчик до подписания договора подряда обязан заключить договор страхования строительных рисков при исполнении работ по договору подряда и предоставить заказчику копию такого договора с подтверждением оплаты.</w:t>
                  </w:r>
                </w:p>
              </w:tc>
            </w:tr>
            <w:tr>
              <w:trPr/>
              <w:tc>
                <w:tcPr>
                  <w:noWrap/>
                </w:tcPr>
                <w:p>
                  <w:pPr/>
                  <w:r>
                    <w:rPr/>
                    <w:t xml:space="preserve">Требования по охране окружающей природной среды (для нового строительства и реконструкции)</w:t>
                  </w:r>
                </w:p>
              </w:tc>
              <w:tc>
                <w:tcPr>
                  <w:noWrap/>
                </w:tcPr>
                <w:p>
                  <w:pPr/>
                  <w:r>
                    <w:rPr/>
                    <w:t xml:space="preserve">Предусмотреть мероприятия по охране окружающей среды, экологической безопасности, соблюдение санитарных и противопожарных норм и правил в соответствии с действующими нормативными документами.</w:t>
                  </w:r>
                </w:p>
              </w:tc>
            </w:tr>
            <w:tr>
              <w:trPr/>
              <w:tc>
                <w:tcPr>
                  <w:noWrap/>
                </w:tcPr>
                <w:p>
                  <w:pPr/>
                  <w:r>
                    <w:rPr/>
                    <w:t xml:space="preserve">Требования по обеспечению энергоэффективности принимаемых проектных решений</w:t>
                  </w:r>
                </w:p>
              </w:tc>
              <w:tc>
                <w:tcPr>
                  <w:noWrap/>
                </w:tcPr>
                <w:p>
                  <w:pPr/>
                  <w:r>
                    <w:rPr/>
                    <w:t xml:space="preserve">При строительстве применять современное энергоэффективное и энергосберегающее оборудование, оснастить объекты приборами учета энергетических ресурсов.</w:t>
                  </w:r>
                </w:p>
              </w:tc>
            </w:tr>
            <w:tr>
              <w:trPr/>
              <w:tc>
                <w:tcPr>
                  <w:noWrap/>
                </w:tcPr>
                <w:p>
                  <w:pPr/>
                  <w:r>
                    <w:rPr/>
                    <w:t xml:space="preserve">Требования по разработке инженерно-</w:t>
                  </w:r>
                  <w:br/>
                  <w:r>
                    <w:rPr/>
                    <w:t xml:space="preserve">			технических мероприятий гражданской</w:t>
                  </w:r>
                  <w:br/>
                  <w:r>
                    <w:rPr/>
                    <w:t xml:space="preserve">			защиты и предупреждения чрезвычайных ситуаций</w:t>
                  </w:r>
                </w:p>
              </w:tc>
              <w:tc>
                <w:tcPr>
                  <w:noWrap/>
                </w:tcPr>
                <w:p>
                  <w:pPr/>
                  <w:r>
                    <w:rPr/>
                    <w:t xml:space="preserve">При строительстве руководствоваться требованиями нормативных документов и согласно техническим условиям УЧС.</w:t>
                  </w:r>
                </w:p>
              </w:tc>
            </w:tr>
            <w:tr>
              <w:trPr/>
              <w:tc>
                <w:tcPr>
                  <w:noWrap/>
                </w:tcPr>
                <w:p>
                  <w:pPr/>
                  <w:r>
                    <w:rPr/>
                    <w:t xml:space="preserve">Требования по обеспечению условий</w:t>
                  </w:r>
                  <w:br/>
                  <w:r>
                    <w:rPr/>
                    <w:t xml:space="preserve">			жизнедеятельности инвалидов и</w:t>
                  </w:r>
                  <w:br/>
                  <w:r>
                    <w:rPr/>
                    <w:t xml:space="preserve">			маломобильных групп населения</w:t>
                  </w:r>
                </w:p>
              </w:tc>
              <w:tc>
                <w:tcPr>
                  <w:noWrap/>
                </w:tcPr>
                <w:p>
                  <w:pPr/>
                  <w:r>
                    <w:rPr/>
                    <w:t xml:space="preserve">В соответствии с действующими нормативными документам</w:t>
                  </w:r>
                </w:p>
              </w:tc>
            </w:tr>
            <w:tr>
              <w:trPr/>
              <w:tc>
                <w:tcPr>
                  <w:noWrap/>
                </w:tcPr>
                <w:p>
                  <w:pPr/>
                  <w:r>
                    <w:rPr/>
                    <w:t xml:space="preserve">Требования к контролю и порядка</w:t>
                  </w:r>
                  <w:br/>
                  <w:r>
                    <w:rPr/>
                    <w:t xml:space="preserve">			сдачи результатов работ</w:t>
                  </w:r>
                </w:p>
              </w:tc>
              <w:tc>
                <w:tcPr>
                  <w:noWrap/>
                </w:tcPr>
                <w:p>
                  <w:pPr/>
                  <w:r>
                    <w:rPr/>
                    <w:t xml:space="preserve">			</w:t>
                  </w:r>
                </w:p>
                <w:p>
                  <w:pPr/>
                  <w:r>
                    <w:rPr/>
                    <w:t xml:space="preserve">Руководители работ, участвующие в ремонте:</w:t>
                  </w:r>
                  <w:br/>
                  <w:r>
                    <w:rPr/>
                    <w:t xml:space="preserve">			- осуществляют контроль качества применяемых строительных материалов;</w:t>
                  </w:r>
                  <w:br/>
                  <w:r>
                    <w:rPr/>
                    <w:t xml:space="preserve">			- обеспечивают оперативный контроль качества выполняемых ремонтных работ;</w:t>
                  </w:r>
                  <w:br/>
                  <w:r>
                    <w:rPr/>
                    <w:t xml:space="preserve">			- проверяют соблюдение технологической дисциплины при производстве ремонтных работ;</w:t>
                  </w:r>
                  <w:br/>
                  <w:r>
                    <w:rPr/>
                    <w:t xml:space="preserve">			- своевременно оформляют акты скрытых работ;</w:t>
                  </w:r>
                  <w:br/>
                  <w:r>
                    <w:rPr/>
                    <w:t xml:space="preserve">			- обеспечивают контроль исполнительной документации на все виды ремонтных работ;</w:t>
                  </w:r>
                  <w:br/>
                  <w:r>
                    <w:rPr/>
                    <w:t xml:space="preserve">			- обеспечивают выполнение ремонтных работ в сроки, предусмотренные согласованными графиками;</w:t>
                  </w:r>
                  <w:br/>
                  <w:r>
                    <w:rPr/>
                    <w:t xml:space="preserve">			- определяют объемы дополнительных работ по результатам осмотра с составлением актов и дефектных ведомостей.</w:t>
                  </w:r>
                </w:p>
                <w:p>
                  <w:pPr/>
                  <w:r>
                    <w:rPr/>
                    <w:t xml:space="preserve">			</w:t>
                  </w:r>
                </w:p>
                <w:p>
                  <w:pPr/>
                  <w:r>
                    <w:rPr/>
                    <w:t xml:space="preserve">Приемка выполненных работ осуществляется комиссией назначаемой Заказчиком в соответствии с - КМК 3.01.04-04 “ПРАВИЛА</w:t>
                  </w:r>
                  <w:br/>
                  <w:r>
                    <w:rPr/>
                    <w:t xml:space="preserve">			ПРИЕМКИ В ЭКСПЛУАТАЦИЮ ЗАКОНЧЕННЫХ КАПИТАЛЬНЫМ РЕМОНТОМ ЖИЛЫХ И ОБЩЕСТВЕННЫХ ЗДАНИЙ И  СООРУЖЕНИЙ” как по отдельным, так и после завершения всех, предусмотренных настоящим заданием и ПСД работ, и оформляются соответствующими актами.</w:t>
                  </w:r>
                </w:p>
                <w:p>
                  <w:pPr/>
                  <w:r>
                    <w:rPr/>
                    <w:t xml:space="preserve">			</w:t>
                  </w:r>
                </w:p>
              </w:tc>
            </w:tr>
            <w:tr>
              <w:trPr/>
              <w:tc>
                <w:tcPr>
                  <w:noWrap/>
                </w:tcPr>
                <w:p>
                  <w:pPr/>
                  <w:r>
                    <w:rPr/>
                    <w:t xml:space="preserve">Финансирование объекта</w:t>
                  </w:r>
                </w:p>
              </w:tc>
              <w:tc>
                <w:tcPr>
                  <w:noWrap/>
                </w:tcPr>
                <w:p>
                  <w:pPr/>
                  <w:r>
                    <w:rPr/>
                    <w:t xml:space="preserve">Аванс - 50 % с разбивкой на два месяца равными долями (по 15% в месяц), текущее финансирование в размере - 95% от стоимости выполненных работ с учетом пропорционального удержания выделенного аванса, 5%- по истечении гарантийного срока эксплуатации.</w:t>
                  </w:r>
                </w:p>
              </w:tc>
            </w:tr>
            <w:tr>
              <w:trPr/>
              <w:tc>
                <w:tcPr>
                  <w:noWrap/>
                </w:tcPr>
                <w:p>
                  <w:pPr/>
                  <w:r>
                    <w:rPr/>
                    <w:t xml:space="preserve">Требования по передаче подрядчику</w:t>
                  </w:r>
                  <w:br/>
                  <w:r>
                    <w:rPr/>
                    <w:t xml:space="preserve">			технических и иных документов</w:t>
                  </w:r>
                </w:p>
              </w:tc>
              <w:tc>
                <w:tcPr>
                  <w:noWrap/>
                </w:tcPr>
                <w:p>
                  <w:pPr/>
                  <w:r>
                    <w:rPr/>
                    <w:t xml:space="preserve">Подрядчику передается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 в формате МС «Excel».</w:t>
                  </w:r>
                </w:p>
              </w:tc>
            </w:tr>
            <w:tr>
              <w:trPr/>
              <w:tc>
                <w:tcPr>
                  <w:noWrap/>
                </w:tcPr>
                <w:p>
                  <w:pPr/>
                  <w:r>
                    <w:rPr/>
                    <w:t xml:space="preserve">Требования по объему и срокам</w:t>
                  </w:r>
                  <w:br/>
                  <w:r>
                    <w:rPr/>
                    <w:t xml:space="preserve">			гарантий качества работ</w:t>
                  </w:r>
                </w:p>
              </w:tc>
              <w:tc>
                <w:tcPr>
                  <w:noWrap/>
                </w:tcPr>
                <w:p>
                  <w:pPr/>
                  <w:r>
                    <w:rPr/>
                    <w:t xml:space="preserve">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 Подрядчик выполняет работы строго в соответствии с технологическими картами. В случае нанесения материального ущерба при производстве ремонтных работ заказчик и подрядчик обязаны в 3-дневный срок составить акт осмотра и принять решение о компенсации ущерба. Срок предоставления гарантийных обязательств на выполненные работы не менее 1 (одного) года после оформления акта госкомиссии.</w:t>
                  </w:r>
                </w:p>
              </w:tc>
            </w:tr>
            <w:tr>
              <w:trPr/>
              <w:tc>
                <w:tcPr>
                  <w:noWrap/>
                </w:tcPr>
                <w:p>
                  <w:pPr/>
                  <w:r>
                    <w:rPr/>
                    <w:t xml:space="preserve">Для получения дополнительной информации и тендерной документации, участники должны обратится</w:t>
                  </w:r>
                </w:p>
              </w:tc>
              <w:tc>
                <w:tcPr>
                  <w:noWrap/>
                </w:tcPr>
                <w:p>
                  <w:pPr/>
                  <w:r>
                    <w:rPr/>
                    <w:t xml:space="preserve">			</w:t>
                  </w:r>
                </w:p>
                <w:p>
                  <w:pPr/>
                  <w:r>
                    <w:rPr/>
                    <w:t xml:space="preserve">Назаров Анвар, 100011, г. Ташкент, ул.Навои, 38-уй, Тел.: +998 78 140 74 66, e-mail: uzkimyosanoat@uks.uz</w:t>
                  </w:r>
                </w:p>
                <w:p>
                  <w:pPr/>
                  <w:r>
                    <w:rPr/>
                    <w:t xml:space="preserve">			</w:t>
                  </w:r>
                </w:p>
              </w:tc>
            </w:tr>
            <w:tr>
              <w:trPr/>
              <w:tc>
                <w:tcPr>
                  <w:noWrap/>
                </w:tcPr>
                <w:p>
                  <w:pPr/>
                  <w:r>
                    <w:rPr/>
                    <w:t xml:space="preserve">Стоимость одного комплекта конкурсной документации</w:t>
                  </w:r>
                </w:p>
              </w:tc>
              <w:tc>
                <w:tcPr>
                  <w:noWrap/>
                </w:tcPr>
                <w:p>
                  <w:pPr/>
                  <w:r>
                    <w:rPr/>
                    <w:t xml:space="preserve">Без оплаты (бесплатно).</w:t>
                  </w:r>
                </w:p>
              </w:tc>
            </w:tr>
            <w:tr>
              <w:trPr/>
              <w:tc>
                <w:tcPr>
                  <w:noWrap/>
                </w:tcPr>
                <w:p>
                  <w:pPr/>
                  <w:r>
                    <w:rPr/>
                    <w:t xml:space="preserve">Оферты принимаются организатором торгов</w:t>
                  </w:r>
                </w:p>
              </w:tc>
              <w:tc>
                <w:tcPr>
                  <w:noWrap/>
                </w:tcPr>
                <w:p>
                  <w:pPr/>
                  <w:r>
                    <w:rPr/>
                    <w:t xml:space="preserve">По указанному выше адресу не позднее 23-го апреля 2021 года 18:00 часов (время ташкентское).</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https://new.uzkimyosanoat.uz/ru/press/tender/kapremont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