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1 ноября 2019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Информация о порядке и условиях реализации 51% акций (48,05%- доля государства и 2,95%-доля АО «Узкимёсаноат») в уставном капитале АО «Ферганаазот» путем отбора наилучших предложений потенциальных инвесторов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соответствии с постановлением Президента Республики Узбекистан от 03.04.2019г. №ПП-4265 «О мерах по дальнейшему реформированию и повышению инвестиционной привлекательности химической промышленности» предусмотрена реализация пакета акций АО «Фаргонаазот» в размере 51% от уставного капитала.</w:t>
        </w:r>
      </w:p>
      <w:p>
        <w:pPr/>
        <w:r>
          <w:rPr/>
          <w:t xml:space="preserve">Решением Государственной комиссии по проведению тендерных торгов при продаже государственного имущества (рег.: №02/1-1328 от 30 сентября 2019 года) внесены изменения в условия реализации доли в АО «Ферганаазот», предусматривающие реализацию доли путём отбора наилучших предложений потенциальных инвесторов с участием инвестиционного консультанта ООО «Ernst & Young Advisory» в следующем порядке и условиях:</w:t>
        </w:r>
      </w:p>
      <w:p>
        <w:pPr>
          <w:jc w:val="center"/>
        </w:pPr>
        <w:r>
          <w:rPr>
            <w:b w:val="1"/>
            <w:bCs w:val="1"/>
          </w:rPr>
          <w:t xml:space="preserve">Порядок</w:t>
        </w:r>
        <w:r>
          <w:rPr/>
          <w:t xml:space="preserve"> </w:t>
        </w:r>
        <w:r>
          <w:rPr>
            <w:b w:val="1"/>
            <w:bCs w:val="1"/>
          </w:rPr>
          <w:t xml:space="preserve">реализации путем отбора наилучших предложений потенциальных инвесторов предполагает следующий механизм</w:t>
        </w:r>
        <w:r>
          <w:rPr>
            <w:b w:val="1"/>
            <w:bCs w:val="1"/>
          </w:rPr>
          <w:t xml:space="preserve">:</w:t>
        </w:r>
      </w:p>
      <w:p>
        <w:pPr/>
        <w:r>
          <w:rPr>
            <w:b w:val="1"/>
            <w:bCs w:val="1"/>
          </w:rPr>
          <w:t xml:space="preserve">Стадия 1</w:t>
        </w:r>
        <w:r>
          <w:rPr>
            <w:b w:val="1"/>
            <w:bCs w:val="1"/>
          </w:rPr>
          <w:t xml:space="preserve">:</w:t>
        </w:r>
      </w:p>
      <w:p>
        <w:pPr/>
        <w:r>
          <w:rPr/>
          <w:t xml:space="preserve">Рассылка тизера (короткая информационная справка об объекте) потенциальным инвесторам из согласованного длинного списка (процедура осуществляется).</w:t>
        </w:r>
      </w:p>
      <w:p>
        <w:pPr/>
        <w:r>
          <w:rPr>
            <w:b w:val="1"/>
            <w:bCs w:val="1"/>
          </w:rPr>
          <w:t xml:space="preserve">Стадия 2</w:t>
        </w:r>
        <w:r>
          <w:rPr>
            <w:b w:val="1"/>
            <w:bCs w:val="1"/>
          </w:rPr>
          <w:t xml:space="preserve">:</w:t>
        </w:r>
      </w:p>
      <w:p>
        <w:pPr/>
        <w:r>
          <w:rPr/>
          <w:t xml:space="preserve">Подписание Договора о конфиденциальности (ДК) с заинтересованными потенциальными инвесторами. Определение короткого списка, предоставление Информационного меморандума и Процедурного письма инвесторам по итогам подписания ДК (процедуры осуществляются).</w:t>
        </w:r>
      </w:p>
      <w:p>
        <w:pPr/>
        <w:r>
          <w:rPr/>
          <w:t xml:space="preserve">Предоставление Необязывающих предложений со стороны инвесторов.</w:t>
        </w:r>
      </w:p>
      <w:p>
        <w:pPr/>
        <w:r>
          <w:rPr/>
          <w:t xml:space="preserve">Анализ, согласование и выбор наиболее привлекательных Необязывающих предложений представленных со стороны инвесторов. Подготовка и открытие Виртуальной Комнаты Данных (ВКД) с доступом потенциальным инвесторам, отобранным по результатам анализа Необязывающих предложений.</w:t>
        </w:r>
      </w:p>
      <w:p>
        <w:pPr/>
        <w:r>
          <w:rPr/>
          <w:t xml:space="preserve">Проведение комплексных проверок (дью-дилидженс) объекта приватизации со стороны потенциальных инвесторов. Координация комплексной проверки со стороны инвестиционного консультанта. Предоставление со стороны инвесторов Обязывающих предложений по итогам проведенных комплексных проверок.</w:t>
        </w:r>
      </w:p>
      <w:p>
        <w:pPr/>
        <w:r>
          <w:rPr/>
          <w:t xml:space="preserve">Анализ и отбор наилучшего обязывающего предложения инвесторов. Проведение дальнейших переговоров с инвесторами. Рассмотрение</w:t>
        </w:r>
        <w:br/>
        <w:r>
          <w:rPr/>
          <w:t xml:space="preserve">и утверждение выбранного наилучшего предложения Государственной комиссией по проведению тендерных торгов при продаже государственного имущества. Подготовка юридических документов (Договор купли-продажи и иные, при необходимости, соглашения).</w:t>
        </w:r>
      </w:p>
      <w:p>
        <w:pPr/>
        <w:r>
          <w:rPr/>
          <w:t xml:space="preserve">Согласование юридических документов с выбранным инвестором. Подписание юридических документов и закрытие сделки.</w:t>
        </w:r>
      </w:p>
      <w:p>
        <w:pPr/>
        <w:r>
          <w:rPr>
            <w:b w:val="1"/>
            <w:bCs w:val="1"/>
          </w:rPr>
          <w:t xml:space="preserve">Условия</w:t>
        </w:r>
        <w:r>
          <w:rPr>
            <w:b w:val="1"/>
            <w:bCs w:val="1"/>
          </w:rPr>
          <w:t xml:space="preserve"> реализации:</w:t>
        </w:r>
      </w:p>
      <w:p>
        <w:pPr/>
        <w:r>
          <w:rPr/>
          <w:t xml:space="preserve">- сохранение основного вида деятельности предприятия;</w:t>
        </w:r>
      </w:p>
      <w:p>
        <w:pPr/>
        <w:r>
          <w:rPr/>
          <w:t xml:space="preserve">- принятие инвестором инвестиционных обязательств по доведению мощности производства аммиака до 660 тысяч тонн, карбамида - до 600 тысяч тонн, аммиачной селитры - до 700 тысяч тонн и азотной кислоты - до 530 тысяч тонн в год (сроки выполнения инвестиционных обязательств 2019-2023гг.) согласно постановлению Президента Республики Узбекистан от 03.04.2019г. № ПП-4265;</w:t>
        </w:r>
      </w:p>
      <w:p>
        <w:pPr/>
        <w:r>
          <w:rPr/>
          <w:t xml:space="preserve">- принятие социальных обязательств в виде создания новых рабочих мест.</w:t>
        </w:r>
      </w:p>
      <w:p>
        <w:pPr/>
        <w:r>
          <w:rPr/>
          <w:t xml:space="preserve">При этом, при определении покупателей предпочтения отдаётся инвестору, предложившему наибольшие выкупные платежи и инвестиционные и социальные обязательства.</w:t>
        </w:r>
      </w:p>
      <w:p>
        <w:pPr/>
        <w:r>
          <w:rPr/>
          <w:t xml:space="preserve">По интересующим Вас вопросам можете обращаться:</w:t>
        </w:r>
      </w:p>
      <w:p>
        <w:pPr/>
        <w:r>
          <w:rPr>
            <w:b w:val="1"/>
            <w:bCs w:val="1"/>
          </w:rPr>
          <w:t xml:space="preserve">АО «Узкимёсаноат»,</w:t>
        </w:r>
        <w:r>
          <w:rPr/>
          <w:t xml:space="preserve"> г. Ташкент, улица Навои 38. Тел: +998(78)-140-74-02. Веб-сайт: www.uzkimyosanoat.uz, адрес электронной почты: </w:t>
        </w:r>
        <w:hyperlink r:id="rId7" w:history="1">
          <w:r>
            <w:rPr/>
            <w:t xml:space="preserve">project_rafael@uks.uz</w:t>
          </w:r>
        </w:hyperlink>
      </w:p>
      <w:p>
        <w:pPr/>
        <w:r>
          <w:rPr>
            <w:b w:val="1"/>
            <w:bCs w:val="1"/>
          </w:rPr>
          <w:t xml:space="preserve">Инвестиционный консультант продавца: ООО «Ernst & Young Advisory»,</w:t>
        </w:r>
        <w:r>
          <w:rPr/>
          <w:t xml:space="preserve"> г.Ташкент, пр-т Мустакиллик 75, Бизнес Центр «Инконель», Республика Узбекистан, Тел: +998(78)-140-64-10, Веб-сайт: 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адрес электронной почты </w:t>
        </w:r>
        <w:hyperlink r:id="rId9" w:history="1">
          <w:r>
            <w:rPr/>
            <w:t xml:space="preserve">tashkent@uz.ey.com</w:t>
          </w:r>
        </w:hyperlink>
        <w:r>
          <w:rPr/>
          <w:t xml:space="preserve">.</w:t>
        </w:r>
      </w:p>
      <w:p>
        <w:pPr/>
        <w:r>
          <w:rPr>
            <w:b w:val="1"/>
            <w:bCs w:val="1"/>
          </w:rPr>
          <w:t xml:space="preserve">Агентство по управлению государственными активами,</w:t>
        </w:r>
        <w:r>
          <w:rPr/>
          <w:t xml:space="preserve"> г. Ташкент, проспект Амира Темура, 6. Тел: +998(71)259-22-10, 259-22-02, 259-20-70,</w:t>
        </w:r>
        <w:br/>
        <w:r>
          <w:rPr/>
          <w:t xml:space="preserve">Факс: +998(71)-239-47-84 Веб-сайт: www.davaktiv.uz, адрес электронной почты: info@davaktiv.uz.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https://new.uzkimyosanoat.uz/ru/press/tender/fazot51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