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 ноября 2019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Информация о порядке и условиях реализации 51 и более процентов акций в уставном капитале АО «Дехканабадский калийный завод» путем отбора наилучших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предусмотрена реализация дополнительного выпуска акций АО «Дехканабадский калийный завод» в размере 51 и более процентов от уставного капитала.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акций в АО «Дехканабадский калийный завод», предусматривающие реализацию дополнительных акций путём отбора наилучших предложений потенциальных инвесторов с участием инвестиционного консультанта ООО «Ernst & Young Advisory» в следующем порядке и условиях:</w:t>
        </w:r>
      </w:p>
      <w:p>
        <w:pPr>
          <w:jc w:val="center"/>
        </w:pPr>
        <w:r>
          <w:rPr>
            <w:b w:val="1"/>
            <w:bCs w:val="1"/>
          </w:rPr>
          <w:t xml:space="preserve">Порядок</w:t>
        </w:r>
        <w:r>
          <w:rPr/>
          <w:t xml:space="preserve"> </w:t>
        </w:r>
        <w:r>
          <w:rPr>
            <w:b w:val="1"/>
            <w:bCs w:val="1"/>
          </w:rPr>
          <w:t xml:space="preserve">реализации путем отбора наилучших предложений потенциальных инвесторов предполагает следующий механизм</w:t>
        </w:r>
        <w:r>
          <w:rPr>
            <w:b w:val="1"/>
            <w:bCs w:val="1"/>
          </w:rPr>
          <w:t xml:space="preserve">:</w:t>
        </w:r>
      </w:p>
      <w:p>
        <w:pPr/>
        <w:r>
          <w:rPr>
            <w:b w:val="1"/>
            <w:bCs w:val="1"/>
          </w:rPr>
          <w:t xml:space="preserve">Стадия 1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Рассылка тизера (короткая информационная справка об объекте) потенциальным инвесторам из согласованного длинного списка (процедура осуществляется).</w:t>
        </w:r>
      </w:p>
      <w:p>
        <w:pPr/>
        <w:r>
          <w:rPr>
            <w:b w:val="1"/>
            <w:bCs w:val="1"/>
          </w:rPr>
          <w:t xml:space="preserve">Стадия 2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Подписание Договора о конфиденциальности (ДК) с заинтересованными потенциальными инвесторами. Определение короткого списка, предоставление Информационного меморандума и Процедурного письма инвесторам по итогам подписания ДК. Предоставление Необязывающих предложений со стороны инвесторов (процедуры осуществляются).</w:t>
        </w:r>
      </w:p>
      <w:p>
        <w:pPr/>
        <w:r>
          <w:rPr/>
          <w:t xml:space="preserve">Анализ, согласование и выбор наиболее привлекательных Необязывающих предложений представленных со стороны инвесторов. Подготовка и открытие Виртуальной Комнаты Данных (ВКД) с доступом потенциальным инвесторам, отобранным по результатам анализа Необязывающих предложений.</w:t>
        </w:r>
      </w:p>
      <w:p>
        <w:pPr/>
        <w:r>
          <w:rPr/>
          <w:t xml:space="preserve">Проведение комплексных проверок (дью-дилидженс) объекта реализации со стороны потенциальных инвесторов. Координация комплексной проверки со стороны инвестиционного консультанта. Предоставление со стороны инвесторов Обязывающих предложений по итогам проведенных комплексных проверок.</w:t>
        </w:r>
      </w:p>
      <w:p>
        <w:pPr/>
        <w:r>
          <w:rPr/>
          <w:t xml:space="preserve">Анализ и отбор наилучшего обязывающего предложения инвесторов. Проведение дальнейших переговоров с инвесторами. Рассмотрение и утверждение выбранного наилучшего предложения Государственной комиссией по проведению тендерных торгов при продаже государственного имущества. Подготовка юридических документов (Договор купли-продажи и иные, при необходимости, соглашения).</w:t>
        </w:r>
      </w:p>
      <w:p>
        <w:pPr/>
        <w:r>
          <w:rPr/>
          <w:t xml:space="preserve">Эмиссия дополнительных акций общества, размещаемых по закрытой подписке конкретному инвестору.</w:t>
        </w:r>
      </w:p>
      <w:p>
        <w:pPr/>
        <w:r>
          <w:rPr/>
          <w:t xml:space="preserve">Согласование юридических документов с выбранным инвестором. Подписание юридических документов и закрытие сделки.</w:t>
        </w:r>
      </w:p>
      <w:p>
        <w:pPr/>
        <w:r>
          <w:rPr>
            <w:b w:val="1"/>
            <w:bCs w:val="1"/>
          </w:rPr>
          <w:t xml:space="preserve">Условия</w:t>
        </w:r>
        <w:r>
          <w:rPr>
            <w:b w:val="1"/>
            <w:bCs w:val="1"/>
          </w:rPr>
          <w:t xml:space="preserve"> реализации:</w:t>
        </w:r>
      </w:p>
      <w:p>
        <w:pPr/>
        <w:r>
          <w:rPr/>
          <w:t xml:space="preserve">- сохранение основного вида деятельности предприятия;</w:t>
        </w:r>
      </w:p>
      <w:p>
        <w:pPr/>
        <w:r>
          <w:rPr/>
          <w:t xml:space="preserve">- принятие инвестором инвестиционных обязательств по организации производства гранулированного хлористого калия 180 тысяч тонн в год, сульфата калия и других видов солей калия 120 тысяч тонн в год, завершению строительства грузовой подвесной канатной дороги и внешней линии электроснабжения (сроки выполнения инвестиционных обязательств 2019-2023гг.) согласно постановлению Президента Республики Узбекистан от 03.04.2019г. № ПП-4265;</w:t>
        </w:r>
      </w:p>
      <w:p>
        <w:pPr/>
        <w:r>
          <w:rPr/>
          <w:t xml:space="preserve">- средства, привлечённые от реализации акций «Дехканабадского калийного завода» направляются на погашение кредитов общества перед Фондом реконструкции и развития Республики Узбекистан;</w:t>
        </w:r>
      </w:p>
      <w:p>
        <w:pPr/>
        <w:r>
          <w:rPr/>
          <w:t xml:space="preserve">- принятие социальных обязательств в виде создания новых рабочих мест.</w:t>
        </w:r>
      </w:p>
      <w:p>
        <w:pPr/>
        <w:r>
          <w:rPr/>
          <w:t xml:space="preserve">При этом, при определении покупателей предпочтения отдаётся инвестору, предложившему наибольшие выкупные платежи и инвестиционные и социальные обязательства.</w:t>
        </w:r>
      </w:p>
      <w:p>
        <w:pPr/>
        <w:r>
          <w:rPr/>
          <w:t xml:space="preserve">По интересующим Вас вопросам можете обращаться:</w:t>
        </w:r>
      </w:p>
      <w:p>
        <w:pPr/>
        <w:r>
          <w:rPr>
            <w:b w:val="1"/>
            <w:bCs w:val="1"/>
          </w:rPr>
          <w:t xml:space="preserve">АО «Узкимёсаноат»:</w:t>
        </w:r>
        <w:r>
          <w:rPr/>
          <w:t xml:space="preserve"> г. Ташкент, улица Навои 38. Тел: +998(78)-140-74-02. Веб-сайт: www.uzkimyosanoat.uz, адрес электронной почты: project_michelangelo@uks.uz</w:t>
        </w:r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7" w:history="1">
          <w:r>
            <w:rPr/>
            <w:t xml:space="preserve">www.ey.com/uz/en/home</w:t>
          </w:r>
        </w:hyperlink>
        <w:r>
          <w:rPr/>
          <w:t xml:space="preserve">, адрес электронной почты </w:t>
        </w:r>
        <w:hyperlink r:id="rId8" w:history="1">
          <w:r>
            <w:rPr/>
            <w:t xml:space="preserve">tashkent@uz.ey.com</w:t>
          </w:r>
        </w:hyperlink>
        <w:r>
          <w:rPr/>
          <w:t xml:space="preserve">.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https://new.uzkimyosanoat.uz/ru/press/tender/dkz51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