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<w:body><w:p w14:paraId="64BC1A8D" w14:textId="4BF9496F" w:rsidR="00A048F3" w:rsidRPr="00477279" w:rsidRDefault="00477279" w:rsidP="002A6CB9"><w:pPr><w:rPr><w:b/><w:sz w:val="32"/><w:szCs w:val="28"/><w:lang w:val="en-US"/></w:rPr></w:pPr><w:r><w:rPr><w:b/><w:sz w:val="32"/><w:szCs w:val="28"/><w:lang w:val="en-US"/></w:rPr><w:t></w:t><w:pict><v:shape type="#_x0000_t75" style="width:300px;height:49.668874172185px" stroked="f" filled="f"><v:imagedata r:id="rId8" o:title=""/></v:shape></w:pict><w:t></w:t></w:r></w:p><w:p w14:paraId="4C657E59" w14:textId="10DF69B4" w:rsidR="008E41E5" w:rsidRDefault="008E41E5" w:rsidP="004D4932"><w:pPr><w:jc w:val="center"/><w:rPr><w:b/><w:sz w:val="32"/><w:szCs w:val="28"/><w:lang w:val="ru-RU"/></w:rPr></w:pPr></w:p><w:p w14:paraId="65E6D3BD" w14:textId="77777777" w:rsidR="00223504" w:rsidRDefault="00223504" w:rsidP="004D4932"><w:pPr><w:jc w:val="center"/><w:rPr><w:b/><w:sz w:val="32"/><w:szCs w:val="28"/><w:lang w:val="ru-RU"/></w:rPr></w:pPr></w:p><w:p w14:paraId="628282D5" w14:textId="674817B3" w:rsidR="00A048F3" w:rsidRPr="00EB414A" w:rsidRDefault="00A048F3" w:rsidP="00A048F3"><w:pPr><w:rPr><w:b/><w:i/><w:iCs/><w:sz w:val="28"/><w:lang w:val="ru-RU"/></w:rPr></w:pPr><w:r w:rsidRPr="00EB414A"><w:rPr><w:i/><w:iCs/><w:lang w:val="ru-RU"/></w:rPr><w:t>23 июня 2016 года</w:t></w:r></w:p><w:p w14:paraId="65A7E376" w14:textId="29A957ED" w:rsidR="004D4932" w:rsidRPr="00A048F3" w:rsidRDefault="00A048F3" w:rsidP="00AD52D5"><w:pPr><w:rPr><w:b/><w:sz w:val="32"/><w:szCs w:val="28"/><w:lang w:val="en-US"/></w:rPr></w:pPr><w:bookmarkStart w:id="0" w:name="_GoBack"/><w:r><w:rPr><w:b/><w:sz w:val="32"/><w:szCs w:val="28"/><w:lang w:val="en-US"/></w:rPr><w:t>Старые объяснения новой экономики</w:t></w:r></w:p><w:bookmarkEnd w:id="0"/><w:p w14:paraId="522BF26F" w14:textId="3F0F523B" w:rsidR="00A048F3" w:rsidRDefault="00A048F3"><w:pPr><w:rPr><w:sz w:val="28"/><w:szCs w:val="28"/><w:lang w:val="ru-RU"/></w:rPr></w:pPr></w:p><w:tbl>
  <w:tblGrid>
    <w:gridCol/>
  </w:tblGrid>
  <w:tr>
    <w:trPr/>
    <w:tc>
      <w:tcPr>
        <w:noWrap/>
      </w:tcPr>
      <w:p>
        <w:pPr/>
        <w:r>
          <w:rPr/>
          <w:t xml:space="preserve">В своей недавней статье «Too Much of a Good Thing» журнал The Economist утверждает, что степень монополизации американской экономики существенно выросла, прибыли корпораций стали чрезмерно высоки, а экономика нуждается в «гигантской дозе конкуренции». Видимые симптомы включают высокую долю корпоративных прибылей как пропорцию ВВП, очень высокую долю свободного денежного потока как пропорцию ВВП и беспрецедентно высокую норму доходности на вложенный капитал.</w:t>
        </w:r>
      </w:p>
      <w:p>
        <w:pPr/>
        <w:r>
          <w:rPr/>
          <w:t xml:space="preserve">Монополизация, однако, является не единственным сценарием, позволяющим объяснить наблюдаемые симптомы. Если во второй половине XX в. развитые экономики прошли путь от индустриального капитализма (доминирует производство) к постиндустриальному (доминируют сервисы), то XXI век наблюдает дальнейшее уменьшение роли капитала и увеличение роли знания как факторов производства. Становление новой экономики характеризуется ускоряющимся развитием технологий, ведущим к цифровизации и роботизации производственного процесса, структурным падением себестоимости производства и капитальных затрат и, как следствие, низкой капиталоемкостью экономического роста. Переход от экономики, в которой доминирует капитал, к экономике, в которой доминируют знания, оставляет следы, схожие с теми, которые наблюдались бы при растущей монополизации. Рассмотрим каждый симптом по отдельности.</w:t>
        </w:r>
      </w:p>
      <w:p>
        <w:pPr/>
        <w:r>
          <w:rPr/>
          <w:t xml:space="preserve">Высокая доля корпоративных прибылей как пропорции ВВП эквивалентна низкой доле зарплат, что обусловлено интернационализацией трудовых ресурсов (более низкие зарплаты в развивающихся странах) и роботизацией производственного процесса (отсутствие зарплат). Снижающаяся капиталоемкость экономического роста приводит к тому, что свободный денежный поток (прибыль после вычета капитальных затрат) растет еще быстрее, чем прибыль.</w:t>
        </w:r>
      </w:p>
      <w:p>
        <w:pPr/>
        <w:r>
          <w:rPr/>
          <w:t xml:space="preserve">Долгое время экспоненциальное падение затрат ассоциировалось исключительно с себестоимостью компьютерных вычислений. Закон Мура – эмпирическая закономерность, подмеченная 50 лет назад, согласно которой производительность интегральных микросхем удваивается каждые два года, отражалась в сопоставимом снижении стоимости вычислений. На сегодняшний день целый ряд технологий прошли по экспоненциально убывающей кривой затрат. Солнечные панели и электрические батареи, микродатчики, которыми нашпигованы смартфоны и бытовые роботы, технологии 3D-печати и секвенирования генома.</w:t>
        </w:r>
      </w:p>
      <w:p>
        <w:pPr/>
        <w:r>
          <w:rPr/>
          <w:t xml:space="preserve">Например, стоимость физических активов на балансе Google, одного из чемпионов новой экономики, не превышает $40 млрд, в то время как рынок оценивает стоимость бизнеса компании, т. е. ее способность зарабатывать прибыль, более чем в $500 млрд. Иными словами, менее 10% стоимости компании обусловлено вложенным в нее физическим капиталом. В такой ситуации норма доходности на вложенный капитал высока не потому, что доход излишне высок, а потому, что вложенный капитал достаточно низок.</w:t>
        </w:r>
      </w:p>
      <w:p>
        <w:pPr/>
        <w:r>
          <w:rPr/>
          <w:t xml:space="preserve">По статистике The Economist, доля компаний, норма доходности которых на вложенный капитал превышает 50%, за последние 20 лет увеличилась с менее чем 10% почти до 20%. Расширение одной только этой категории практически полностью объясняет увеличение нормы доходности на вложенный капитал до 16% в целом по экономике с более типичных для второй половины ХХ в. 8–12%. Категория «50% плюс» – это некапиталоемкие гуглы, фейсбуки и амазоны набирающей обороты экономики знаний.</w:t>
        </w:r>
      </w:p>
      <w:p>
        <w:pPr/>
        <w:r>
          <w:rPr/>
          <w:t xml:space="preserve">Является ли Google монополией? Классический монополист, оперирующий на неконкурентном рынке, через завышение цены на свою продукцию теряет в объемах, но выигрывает в прибыли. Для Google основной источник прибыли – контекстная реклама, ценообразование на показ которой происходит на специальном аукционе. То есть стоимость услуг Google устанавливает рынок.</w:t>
        </w:r>
      </w:p>
      <w:p>
        <w:pPr/>
        <w:r>
          <w:rPr/>
          <w:t xml:space="preserve">Один из заключительных аргументов The Economist состоит в том что в конкурентной экономике высокая норма доходности на капитал привлекла бы новых конкурентов, что со временем привело бы к нормализации доходности. Такой нормализации, однако, не наблюдается. Но совсем не потому, что экономика не конкурентна (как заключает The Economist), а потому, что прибыли в новом сегменте экономики создаются не капиталом, а принципы ценообразования уже рыночные.</w:t>
        </w:r>
      </w:p>
      <w:p>
        <w:pPr/>
        <w:r>
          <w:rPr/>
          <w:t xml:space="preserve">В действительности интернет-индустрия является очень конкурентной. Низкие барьеры для входа и нескончаемый поток инноваций приводят к постоянной смене лидеров. Индустрии, где, может быть, и имело бы смысл искать признаки монополизации, – это традиционные капиталоемкие индустрии с высокими барьерами для входа, такие как, например, автомобильная индустрия или космос. Однако в реальности мы видим картину противоположную. Автомобильный стартап Tesla Motors в марте 2016 г. анонсировал новый седан Tesla Model 3, собравший за первую неделю предварительных продаж заказов на $14 млрд. Больше не собирал запуск ни одного продукта ни в одной индустрии. Другой недавний стартап SpaceX переворачивает индустрию коммерческих космических запусков, до недавнего времени считавшуюся олигополистической вотчиной нескольких крупных суверенных игроков с экономикой, основанной на принципе «затраты плюс». Таким образом, в действительности становление экономики знаний сопровождается снижением общего уровня монополизации экономики.</w:t>
        </w:r>
      </w:p>
      <w:p>
        <w:pPr/>
        <w:r>
          <w:rPr/>
          <w:t xml:space="preserve">Старая и новая экономики существуют бок о бок, и в зависимости от перспективы наблюдатель видит одни и те же события под разным углом. В течение прошедших 10 лет надулся и сдулся рыночный пузырь. Экономика вступила в период, теперь называемый «великая рецессия». Отчаянные времена потребовали отчаянных действий: монетарные власти большинства развитых стран в надежде оживить экономику на несколько лет опустили процентные ставки до нуля, в некоторых случаях ниже нуля, а там, где этого казалось недостаточно, запустили программы количественного смягчения (QE); параллельно с монетарными мерами дефицитные бюджеты были призваны обеспечить контрцикличное фискальное стимулирование экономики. Конечный результат предпринятых мер с традиционной точки зрения оказался гораздо ниже ожиданий: несмотря на дешевизну денег, компании реального сектора не спешат брать, а банки не спешат выдавать кредиты; долговая нагрузка некоторых стран выросла до уровней, затрудняющих будущий экономический рост, а выпуск и уровень занятости в экономике находятся на отметках ниже оптимальных.</w:t>
        </w:r>
      </w:p>
      <w:p>
        <w:pPr/>
        <w:r>
          <w:rPr/>
          <w:t xml:space="preserve">Кульминацией традиционного анализа стало недавнее возрождение интереса к концепции долгосрочной стагнации, фактически постулирующей условия, еще недавно считавшиеся субоптимальными, как новую норму. Гипотеза о монополизации экономики в рамках этой концепции выглядит крайне привлекательно, так как фактически объясняет механизм трансформации монополистического поведения в наблюдаемые макроэкономические параметры: «Если бы монополизация экономики возросла, можно было бы наблюдать более высокие прибыли, более низкие инвестиции вследствие ограничения выпуска и более низкие процентные ставки вследствие уменьшения спроса на капитал. Это в точности то, что мы и наблюдаем в последние годы! <...> Только предположение о монополизации может убедительно объяснить разнонаправленность в динамике нормы доходности, реальных процентных ставок и инвестиций» (Ларри Саммерс, бывший министр финансов США и один из сторонников теории долгосрочной стагнации).</w:t>
        </w:r>
      </w:p>
      <w:p>
        <w:pPr/>
        <w:r>
          <w:rPr/>
          <w:t xml:space="preserve">Однако не только предположение о монополизации может всё связать воедино. Становление экономики знаний сопровождается уменьшением роли капитала в дальнейшем росте экономики, что приводит к замедлению роста инвестиций в физический капитал, растущей доходности на капитал (который таки оказался востребован), растущему избытку капитала в экономике и, как следствие, низким равновесным процентным ставкам. С перспективы новой экономики наблюдатель видит пример «разрушительного созидания» в действии, вызывающего временные болезненные изменения в традиционной экономике, но в итоге ведущего к общему росту благосостояния, как и все предыдущие технологические изменения в истории.</w:t>
        </w:r>
      </w:p>
      <w:p>
        <w:pPr>
          <w:jc w:val="end"/>
        </w:pPr>
        <w:r>
          <w:rPr/>
          <w:t xml:space="preserve">Источник: </w:t>
        </w:r>
        <w:hyperlink r:id="rId7" w:history="1">
          <w:r>
            <w:rPr/>
            <w:t xml:space="preserve">www.vedomosti.ru/opinion/articles/2016/06/23/646449-obyasneniya-novoi-ekonomiki</w:t>
          </w:r>
        </w:hyperlink>
      </w:p>
    </w:tc>
  </w:tr>
</w:tbl>
<w:p w14:paraId="37969DD4" w14:textId="6072311F" w:rsidR="004E4FEA" w:rsidRDefault="004E4FEA" w:rsidP="004E4FEA"><w:pPr><w:rPr><w:sz w:val="28"/><w:szCs w:val="28"/><w:lang w:val="ru-RU"/></w:rPr></w:pPr></w:p><w:p w14:paraId="17D35146" w14:textId="77777777" w:rsidR="006D67C6" w:rsidRDefault="006D67C6" w:rsidP="004E4FEA"><w:pPr><w:rPr><w:sz w:val="28"/><w:szCs w:val="28"/><w:lang w:val="ru-RU"/></w:rPr></w:pPr></w:p><w:p w14:paraId="63214FEC" w14:textId="77777777" w:rsidR="004E4FEA" w:rsidRPr="00DD7CD9" w:rsidRDefault="004E4FEA" w:rsidP="004E4FEA"><w:pPr><w:rPr><w:b/><w:bCs/><w:i/><w:iCs/><w:lang w:val="en-US"/></w:rPr></w:pPr><w:r w:rsidRPr="00DD7CD9"><w:rPr><w:b/><w:bCs/><w:i/><w:iCs/><w:lang w:val="en-US"/></w:rPr><w:t>source:</w:t></w:r></w:p><w:p w14:paraId="590A36CF" w14:textId="77777777" w:rsidR="004E4FEA" w:rsidRPr="00DD7CD9" w:rsidRDefault="004E4FEA" w:rsidP="004E4FEA"><w:pPr><w:rPr><w:i/><w:iCs/><w:lang w:val="en-US"/></w:rPr></w:pPr><w:r w:rsidRPr="00DD7CD9"><w:rPr><w:i/><w:iCs/><w:lang w:val="en-US"/></w:rPr><w:t>Акционерное общество "Узкимёсаноат"</w:t></w:r></w:p><w:p w14:paraId="71C6122F" w14:textId="01C0B5C7" w:rsidR="004E4FEA" w:rsidRPr="00DD7CD9" w:rsidRDefault="004E4FEA" w:rsidP="004E4FEA"><w:pPr><w:rPr><w:i/><w:iCs/><w:lang w:val="ru-RU"/></w:rPr></w:pPr><w:r w:rsidRPr="00DD7CD9"><w:rPr><w:i/><w:iCs/><w:lang w:val="ru-RU"/></w:rPr><w:t>https://new.uzkimyosanoat.uz/ru/press/news/starye-obyasneniya-novoy-ekonomiki</w:t></w:r></w:p><w:p w14:paraId="36856441" w14:textId="77777777" w:rsidR="00A048F3" w:rsidRPr="004D4932" w:rsidRDefault="00A048F3" w:rsidP="00A048F3"><w:pPr><w:jc w:val="both"/><w:rPr><w:sz w:val="28"/><w:szCs w:val="28"/><w:lang w:val="ru-RU"/></w:rPr></w:pPr></w:p><w:sectPr w:rsidR="00A048F3" w:rsidRPr="004D4932" w:rsidSect="00A048F3"><w:pgSz w:w="11906" w:h="16838"/><w:pgMar w:top="1134" w:right="1134" w:bottom="1134" w:left="1134" w:header="709" w:footer="709" w:gutter="0"/><w:cols w:space="708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