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5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S&P оценило выход Великобритании из ЕС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Выход Великобритании из ЕС будет стоить ее экономике 1-1,2% роста в ближайшие два года, а зона евро может недосчитаться 0,8% ВВП, подсчитали аналитики Standard&Poor`s. Слабый фунт может отчасти компенсировать падение, но, учитывая существенный дефицит торгового баланса, состояние британской экономики будет зависеть от того, насколько существенным окажется сокращение притока инвестиций. Эксперты указывают на возможности дерегулирования в финансовой сфере для привлечения новых капиталов — однако пока наиболее вероятным остается наращивание монетарной поддержки Банком Англии и ЕЦБ.</w:t>
        </w:r>
      </w:p>
      <w:p>
        <w:pPr/>
        <w:r>
          <w:rPr/>
          <w:t xml:space="preserve">"Основные экономические последствия выхода Великобритании из ЕС будут сконцентрированы в самой стране, но последствия для зоны евро также будут заметными",— говорится в новом прогнозе рейтингового агентства Standard&Poor`s. На прошлой неделе оно снизило рейтинг страны на две ступени — до АА. Великобритания недосчитается 1,2% ВВП в 2017 году и 1% в 2018-м и "едва избежит рецессии", прогнозируют в агентстве (прогноз учитывает сохранение доступа на единый европейский рынок как минимум в ближайшие два года). Впрочем, "повышенная неопределенность требует с осторожностью относиться к любым прогнозам",— признают авторы доклада. Заметим, формальной заявки на выход из ЕС Лондон еще не подал. Если это все же произойдет, переговоры будут тяжелыми и продлятся не менее двух лет, ожидают в S&P (о кандидатуре возможного переговорщика см. стр. 6).</w:t>
        </w:r>
      </w:p>
      <w:p>
        <w:pPr/>
        <w:r>
          <w:rPr/>
          <w:t xml:space="preserve">Ослабление фунта, которое, как ожидается, продлится и на следующие полтора года, может поддержать рост британского экспорта — но вряд ли позволит покрыть текущий дефицит торгового баланса (эквивалентен 7% ВВП). Пока этот дефицит финансируется притоком капитала (прямые зарубежные инвестиции — 3,6% ВВП, портфельные — 4,8%), но их дальнейший приток будет зависеть от характера переговоров с ЕС, полагают в S&P. Риском является и выведение ряда штаб-квартир финансовых компаний из Лондона. В итоге, как ожидают в ING Bank, Банк Англии, вероятно, будет вынужден снизить процентные ставки до нуля к концу года. В S&P и вовсе ждут возобновления программы количественного смягчения (QE) в следующем году, несмотря на прогнозируемый рост инфляции (фунт с 23 июня потерял 11% стоимости, с начала года — 15%).</w:t>
        </w:r>
      </w:p>
      <w:p>
        <w:pPr/>
        <w:r>
          <w:rPr/>
          <w:t xml:space="preserve">В зоне евро восстановление роста не остановится, но страны валютного блока также недосчитаются порядка 0,8% ВВП в 2017-2018 годах, полагают в S&P. Brexit, в частности, может помешать наметившемуся с начала года ускорению роста капвложений. Наиболее негативным будет прямое влияние через торговлю на Ирландию, Бельгию, Люксембург и Нидерланды — тогда как Франция и Германия являются крупными инвесторами в британскую экономику. Компенсировать последствия Brexit опять же будет ЕЦБ, ожидают в агентстве, отмечая, что низкие ставки способствовали росту кредитования, а снижение долговой нагрузки увеличило спрос на недвижимость (о рисках такого подхода уже предупредил МВФ — см. "Ъ" от 4 июля).</w:t>
        </w:r>
      </w:p>
      <w:p>
        <w:pPr/>
        <w:r>
          <w:rPr/>
          <w:t xml:space="preserve">Brexit теоретически позволит Великобритании отказаться от части регулирования в финансовой сфере, в частности, ограничений по уплате бонусов и выполнения директивы по хедж-фондам, но для привлечения новых капиталов потребуется и облегчение регулирования, вызванного борьбой с уклонением от уплаты налогов, полагает Оливер Уильямс из Wealth Insight.</w:t>
        </w:r>
      </w:p>
      <w:p>
        <w:pPr/>
        <w:r>
          <w:rPr/>
          <w:t xml:space="preserve">Основной причиной для беспокойства остается новое регулирование в отношении резидентов, живущих за рубежом (non-doms, позволяет не платить налог на зарубежные доходы), предложенное главой Минфина Джорджем Осборном — оно предполагает уплату подоходного налога и налога на прирост капитала, если резидент живет в Великобритании более 15 лет. "В любом случае, интерес состоятельных людей к Лондону вряд ли уменьшится",— полагают в компании, отмечая, однако, что текущее падение рынка привело к сокращению 15 самых крупных состояний на $5,5 млрд. В оценках перспектив рынка недвижимости эксперты пока расходятся. В Wealth Insight полагают, что слабый фунт поддержит спрос, в S&P, напротив, ожидают, что в этом году цены снизятся, а в следующем будут стагнировать.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www.kommersant.ru/doc/3030313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https://new.uzkimyosanoat.uz/ru/press/news/s-p-ocenilo-vyhod-velikobritanii-iz-es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