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5 июля 2021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В филиале Российского химико-технологического университета имени Д.И.Менделеева в городе Ташкенте состоялась встреча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В филиале Российского химико-технологического университета имени Д.И.Менделеева в городе Ташкенте состоялась  встреча студентов университета с доцентом кафедры химии (Associate professor) факультета науки Техасского университета А&М в Катаре (Texas A & M University Qatar) Шерзодом Мадрахимовым.</w:t>
        </w:r>
      </w:p>
      <w:p>
        <w:pPr/>
        <w:r>
          <w:rPr/>
          <w:t xml:space="preserve">Шерзод Мадрахимов - недавно назначенный доцент кафедры химии (Associate professor) на факультете науки Техасского университета A&M в Катаре (Texas A&M University Qatar). Ш.Мадрахимов начал свою деятельность в университете в августе 2015 года.   Свою дипломную работу он завершил в университете Иллинойса Урбана-Шампейн (University of Illinois Urbana-Champaign) под руководством профессора Джона Хартвига (Prof. John Hartwig), получив степень доктора философии в 2012 году.</w:t>
        </w:r>
      </w:p>
      <w:p>
        <w:pPr/>
        <w:r>
          <w:rPr/>
          <w:t xml:space="preserve">Его работа в университете сосредоточена на разработке высокоактивных и перерабатываемых катализаторов для производства продуктов с добавленной стоимостью из химического сырья и методов анализа этих катализаторов.</w:t>
        </w:r>
      </w:p>
      <w:p>
        <w:pPr/>
        <w:r>
          <w:rPr/>
          <w:t xml:space="preserve">По итогам встречи, насыщенной интересными вопросами и ответами, администрация университета предложила проводить мастер-классы для студентов не реже одного раза в три месяца. Данное предложение было одобрено Шерзодом Мадрахимовым. Так с нового 2021-2022 учебного года студенты университета получат возможность повысить свои знания в области органического синтеза и катализаторов химической науки.</w:t>
        </w:r>
      </w:p>
      <w:p>
        <w:pPr/>
        <w:r>
          <w:rPr/>
          <w:t xml:space="preserve"> </w:t>
        </w:r>
      </w:p>
      <w:p>
        <w:pPr>
          <w:jc w:val="end"/>
        </w:pPr>
        <w:r>
          <w:rPr>
            <w:b w:val="1"/>
            <w:bCs w:val="1"/>
          </w:rPr>
          <w:t xml:space="preserve">Пресс-служба АО «Узкимёсаноат»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https://new.uzkimyosanoat.uz/ru/press/news/rxtu-texasam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