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Прибыли корпораций рекомендуют домашний режим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Для борьбы с занижением объема налогов, уплачиваемых крупными транснациональными компаниями, США должны реформировать собственную налоговую систему, перейдя на территориальный принцип налогообложения. Одновременно следует ужесточить применение вычетов и ограничить вывод капитала, рекомендуют эксперты МВФ в новом докладе, посвященном масштабной реформе налоговой системы страны. Изменения, которые предлагает МВФ, могут привести к пересмотру и мировой системы корпоративного налогообложения.</w:t>
            </w:r>
          </w:p>
          <w:p>
            <w:pPr/>
            <w:r>
              <w:rPr/>
              <w:t xml:space="preserve">США необходимо реформировать систему налогообложения транснациональных корпораций с тем, чтобы повысить собираемость налогов. Для этого необходимо уравнять налоговую нагрузку на кредитное и инвестиционное финансирование, говорится в новом исследовании, опубликованном на сайте МВФ (Kimberly Clausing, Edward Kleinbard, Thornton Matheson). "С учетом того, что США — крупнейший импортер и экспортер капитала, подобная реформа могла бы привести к глобальному пересмотру международной налоговой системы",— полагают авторы доклада. Предложения по реформе налоговой системы сейчас готовит Минфин США.</w:t>
            </w:r>
          </w:p>
          <w:p>
            <w:pPr/>
            <w:r>
              <w:rPr/>
              <w:t xml:space="preserve">По мере роста доли доходов, получаемых от нематериальных активов, их обложение становится все сложнее. В 2012 году 60% доходов транснациональных корпораций были получены в юрисдикциях с эффективной ставкой корпоративного налога ниже 5%. В то же время в самих США ставка варьируется от 15% до 35%, что выше, чем в среднем по ОЭСР — 23%, но фактическая налоговая нагрузка оценивается в 14% из-за использования налоговых вычетов.</w:t>
            </w:r>
          </w:p>
          <w:p>
            <w:pPr/>
            <w:r>
              <w:rPr/>
              <w:t xml:space="preserve">При этом соотношение уплаченного налога к объему операционной прибыли (до вычета амортизации) сопоставимо с другими странами "большой семерки" — 13,2% против 13,3%. Сокращению налоговой базы способствуют отсрочка выплат налога зарубежными "дочками" американских компаний (объем "зависших" средств оценивается в $2 трлн), а также ускоренная амортизация. Кроме того, возможность сокращать прибыль на сумму уплаченных процентов по кредитам (и отсутствие такой возможности для дивидендов) приводит к искажению распределения капитала, создавая преференции компаниям, имеющим доступ к кредитным средствам, а также способствует росту дисбалансов в экономике, отмечают исследователи.</w:t>
            </w:r>
          </w:p>
          <w:p>
            <w:pPr/>
            <w:r>
              <w:rPr/>
              <w:t xml:space="preserve">Основное предложение экспертов МВФ — перевод налоговой системы США на территориальный режим. Он предполагает распространение фискальной нагрузки только на доходы и дивиденды, полученные в США (сейчас американским компаниям приходится доплачивать разницу между налоговой ставкой США и юрисдикции, в которой получены доходы). Помочь переходу к новой системе призвано введение минимального (по ставке 15%) налогообложения прибыли, полученной в низконалоговых юрисдикциях. Кроме того, использование вычетов должно быть ограничено территориально — вычеты, полученные в странах с высокими ставками, не должны использоваться для вывода из-под налогообложения доходов, обложенных по низкой ставке.</w:t>
            </w:r>
          </w:p>
          <w:p>
            <w:pPr/>
            <w:r>
              <w:rPr/>
              <w:t xml:space="preserve">Для уравнивания налоговой нагрузки на кредитное финансирование и капитал реформа предполагает переход к обложению "экономических рент", то есть доходов сверх установленной нормы доходности, с одновременным снижением ставки налога до 25-28%. Предполагается, что это должно выравнять популярность долгового и инвестиционного финансирования активов — например, за счет введения вычета на инвестиции по аналогии с вычетом на уплату процентов по кредитам. Подобная система действует в Бельгии, Италии, Австрии, Бразилии и Хорватии, а также применяется в отдельных отраслях (в частности, при налогообложении доходов от добычи полезных ископаемых).</w:t>
            </w:r>
          </w:p>
          <w:p>
            <w:pPr/>
            <w:r>
              <w:rPr/>
              <w:t xml:space="preserve">Впрочем, критики подхода указывают на сложность определения "нормативной" доходности и риски недостаточного налогообложения капитала. Европейская практика пока также неоднородна. "В Бельгии есть номинальный вычет в зависимости от размера инвестиций — это налоговый стимул для инвестирования через бельгийские холдинги, но он не вызвал взрывного интереса к стране. На Кипре действует схожая система",— отмечает партнер International Tax Associates Рустам Вахитов. По мнению эксперта, проще бороться со злоупотреблениями в виде завышения процентных платежей, нежели заменять их фиксированными вычетами.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www.kommersant.ru/doc/3032378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https://new.uzkimyosanoat.uz/ru/press/news/pribyli-korporaciy-rekomenduyut-domashniy-rezhim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