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февраля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Потенциал отрасли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ГАК "Узкимёсаноат" состоялась пресс-конференция, посвященная итогам деятельности компании в 2012 году.</w:t>
            </w:r>
          </w:p>
          <w:p>
            <w:pPr/>
            <w:r>
              <w:rPr/>
              <w:t xml:space="preserve">Отмечено, что предприятиями ГАК "Узкимёсаноат" в прошлом году произведено товарной продукции на 1560,7 млрдсумов, темп роста производства к аналогичному периоду 2011 года составил 106,1 процента. Товаров народного потребления выпущено на 103,5 млрдсумов. Темп роста производства к аналогичному периоду 2011 года - 142,2 процента. Новых видов продукции произведено на 23,1 млрдсумов.</w:t>
            </w:r>
          </w:p>
          <w:p>
            <w:pPr/>
            <w:r>
              <w:rPr/>
              <w:t xml:space="preserve">В рамках реализации инвестиционных проектов, включенных в Инвестиционную программу, предприятия ГАК "Узкимёсаноат" освоили 205,72 млн долларов, привлечено 201,44 млн долларов инвестиций. Экспорт химической продукции составил 107 процентов, темп роста -110 процентов. Согласно Программе локализации в 2012 году по 34 проектам произведено продукции на 333,1 млрдсумов с темпом роста 123,5 процента.</w:t>
            </w:r>
          </w:p>
          <w:p>
            <w:pPr/>
            <w:r>
              <w:rPr/>
              <w:t xml:space="preserve">По договорам, заключенным на Международной промышленной ярмарке и Кооперационной бирже, предприятия закупили продукции на 147,2 млрдсумов, или 109,4 процента к прогнозу.</w:t>
            </w:r>
          </w:p>
          <w:p>
            <w:pPr/>
            <w:r>
              <w:rPr/>
              <w:t xml:space="preserve">Создано 384 новых рабочих места, или 295,4 процента, в том числе для надомного труда - 85, или 110, 4 процента к прогнозу.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Диана Агелова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№22/2013 от 1 февраля 2013</w:t>
            </w:r>
          </w:p>
          <w:p>
            <w:pPr>
              <w:jc w:val="end"/>
            </w:pPr>
            <w:hyperlink r:id="rId7" w:history="1">
              <w:r>
                <w:rPr>
                  <w:b w:val="1"/>
                  <w:bCs w:val="1"/>
                </w:rPr>
                <w:t xml:space="preserve">Правда Востока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https://new.uzkimyosanoat.uz/ru/press/news/potencial-otrasli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