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7 июня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Объем промышленных заказов в Германии в апреле упал сильнее ожидаемого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Слабый зарубежный спрос привел к большему, чем ожидалось, сокращению объема заказов в обрабатывающем секторе Германии в апреле, показали опубликованные в понедельник данные, свидетельствуя о том, что замедление экономик развивающихся рынков наложило свой отпечаток на ситуацию в крупнейшей экономике Европы в начале второго квартала.</w:t>
            </w:r>
          </w:p>
          <w:p>
            <w:pPr/>
            <w:r>
              <w:rPr/>
              <w:t xml:space="preserve">Эти данные служат еще одним доказательством того, что Германии придется и дальше полагаться скорее на частное потребление, нежели на торговлю, чтобы поддержать рост экономики в условиях вялого глобального спроса.</w:t>
            </w:r>
          </w:p>
          <w:p>
            <w:pPr/>
            <w:r>
              <w:rPr/>
              <w:t xml:space="preserve">Согласно отчету министерства экономики страны, объем заказов на поставку товаров, произведенных в Германии, сократился на 2,0 процента в месячном исчислении. Аналитики, опрошенные Рейтер, прогнозировали снижение показателя на 0,5 процента [ECONDE].</w:t>
            </w:r>
          </w:p>
          <w:p>
            <w:pPr/>
            <w:r>
              <w:rPr/>
              <w:t xml:space="preserve">В то время как внутренний спрос вырос на 1,3 процента, объем заказов из-за рубежа снизился на 4,3 процента, при этом спрос со стороны стран, не входящих в еврозону, упал на 8,3 процента. В то же время объем заказов из стран еврозоны повысился на 2,5 процента.</w:t>
            </w:r>
          </w:p>
          <w:p>
            <w:pPr/>
            <w:r>
              <w:rPr/>
              <w:t xml:space="preserve">Как сообщило министерство экономики, слабые апрельские данные обусловлены колебаниями объема заказов на капитальные товары из не входящих в еврозону экономик. Но в целом, по сообщению министерства, в сфере промышленных заказов продолжает наблюдаться тенденция умеренному росту.</w:t>
            </w:r>
          </w:p>
          <w:p>
            <w:pPr/>
            <w:r>
              <w:rPr/>
              <w:t xml:space="preserve">Данные за март были пересмотрены в сторону повышения и показали увеличение объема заказов на 2,6 процента вместо 1,9 процента, о которых сообщалось ранее.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ru.reuters.com/article/businessNews/idRUKCN0YS0WJ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https://new.uzkimyosanoat.uz/ru/press/news/obem-promyshlennyh-zakazov-v-germanii-v-aprele-upal-silnee-ozhidaemogo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