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7 июня 2016 года</w:t></w:r></w:p><w:p w14:paraId="65A7E376" w14:textId="29A957ED" w:rsidR="004D4932" w:rsidRPr="00A048F3" w:rsidRDefault="00A048F3" w:rsidP="00AD52D5"><w:pPr><w:rPr><w:b/><w:sz w:val="32"/><w:szCs w:val="28"/><w:lang w:val="en-US"/></w:rPr></w:pPr><w:bookmarkStart w:id="0" w:name="_GoBack"/><w:r><w:rPr><w:b/><w:sz w:val="32"/><w:szCs w:val="28"/><w:lang w:val="en-US"/></w:rPr><w:t>Инвесторам советуют смотреть не на ФРС, а на Китай</w:t></w:r></w:p><w:bookmarkEnd w:id="0"/><w:p w14:paraId="522BF26F" w14:textId="3F0F523B" w:rsidR="00A048F3" w:rsidRDefault="00A048F3"><w:pPr><w:rPr><w:sz w:val="28"/><w:szCs w:val="28"/><w:lang w:val="ru-RU"/></w:rPr></w:pPr></w:p><w:tbl>
  <w:tblGrid>
    <w:gridCol/>
  </w:tblGrid>
  <w:tr>
    <w:trPr/>
    <w:tc>
      <w:tcPr>
        <w:noWrap/>
      </w:tcPr>
      <w:p>
        <w:pPr/>
        <w:r>
          <w:rPr/>
          <w:t xml:space="preserve">Аналитики Goldman Sachs посоветовали инвесторам больше обращать внимания не на намеки ФРС по ставке и статистические данные по рынку США, а на валютную политику КНР. Goldman Sachs считает, что динамика американских биржевых индексов с лета прошлого года чутко реагирует на снижение курса юаня к доллару.</w:t>
        </w:r>
      </w:p>
      <w:p>
        <w:pPr/>
        <w:r>
          <w:rPr/>
          <w:t xml:space="preserve">В сегодняшней аналитической записке для инвесторов главный стратегический аналитик по рынку акций американского инвестбанка Goldman Sachs Дэвид Костин отметил, что «фондовым управляющим имеет смысл обращать больше внимания не на продолжающиеся дебаты по поводу ставки ФРС, а на укрепление доллара по отношение к юаню». По мнению аналитика, за последний год индекс S&P 500 резко падал, как только курс юаня по отношению к доллару становился заметно ниже. С июня прошлого года Goldman Sachs отметил как минимум два таких момента, когда Китай опускал курс юаня к доллару, что тут же вызывало проседание индекса S&P 500 — в августе 2015 года и январе 2016 года.</w:t>
        </w:r>
      </w:p>
      <w:p>
        <w:pPr/>
        <w:r>
          <w:rPr/>
          <w:t xml:space="preserve">Аналитики отмечают, что такое поведение индекса в основном объясняется тем, что удорожание доллара к юаню вызывает распродажу акций крупных американских компаний, операции которых во многом зависят от Китая: McDonalds, Citigroup, Philip Morris, Merck и др., что, в свою очередь, сказывается на американских биржевых индексах.</w:t>
        </w:r>
      </w:p>
      <w:p>
        <w:pPr/>
        <w:r>
          <w:rPr/>
          <w:t xml:space="preserve">Исходя из своего видения макроэкономической ситуации и китайской экономики, аналитики Goldman Sachs считают, что в ближайшие 12 месяцев курс юаня к доллару опустится еще на 3%. В связи с этим аналитики не исключают, что инвесторам в данный момент лучше сконцентрироваться на акциях американских компаний, которые меньше зависят от международных операций, в том числе с Китаем. Особенно это актуально в преддверии ноябрьских президентских выборов в США, которые также могут негативно сказаться на компаниях, сильно зависящих от зарубежных рынков и международной торговли, на конъюнктуру которых могут повлиять результаты выборов.</w:t>
        </w:r>
      </w:p>
      <w:p>
        <w:pPr>
          <w:jc w:val="end"/>
        </w:pPr>
        <w:r>
          <w:rPr/>
          <w:t xml:space="preserve">Источник: </w:t>
        </w:r>
        <w:hyperlink r:id="rId7" w:history="1">
          <w:r>
            <w:rPr/>
            <w:t xml:space="preserve">www.kommersant.ru/doc/3006878</w:t>
          </w:r>
        </w:hyperlink>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Акционерное общество "Узкимёсаноат"</w:t></w:r></w:p><w:p w14:paraId="71C6122F" w14:textId="01C0B5C7" w:rsidR="004E4FEA" w:rsidRPr="00DD7CD9" w:rsidRDefault="004E4FEA" w:rsidP="004E4FEA"><w:pPr><w:rPr><w:i/><w:iCs/><w:lang w:val="ru-RU"/></w:rPr></w:pPr><w:r w:rsidRPr="00DD7CD9"><w:rPr><w:i/><w:iCs/><w:lang w:val="ru-RU"/></w:rPr><w:t>https://new.uzkimyosanoat.uz/ru/press/news/investoram-sovetuyut-smotret-ne-na-frs-a-na-kitay</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