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Движение капитала на развивающихся рынках не пострадало после Brexit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Решение Великобритании выйти из Евросоюза по итогам референдума на прошлой неделе не оказало серьезного воздействия на движение капитала на развивающихся странах, сообщил Институт международных финансов (IIF) в четверг.</w:t>
            </w:r>
          </w:p>
          <w:p>
            <w:pPr/>
            <w:r>
              <w:rPr/>
              <w:t xml:space="preserve">По информации IIF, в минувшую пятницу, когда стали известны итоги британского референдума, наблюдался небольшой отток из активов развивающихся рынков в объеме $210 миллионов.</w:t>
            </w:r>
          </w:p>
          <w:p>
            <w:pPr/>
            <w:r>
              <w:rPr/>
              <w:t xml:space="preserve">Данные за весь июнь свидетельствуют о том, что чистый приток иностранных инвестиций на развивающиеся рынки составил $16,7 миллиарда против почти нулевого значения в мае, хотя и не дотянул до средних показателей 2010-2014 годов на уровне $22 миллиардов.</w:t>
            </w:r>
          </w:p>
          <w:p>
            <w:pPr/>
            <w:r>
              <w:rPr/>
              <w:t xml:space="preserve">Основные покупки пришлись на начало месяца, до британского референдума 23 июня, и были достаточно равномерно распределены между рынками акций и облигаций развивающихся стран, составив $9,3 миллиарда и $7,4 миллиарда соответственно.</w:t>
            </w:r>
          </w:p>
          <w:p>
            <w:pPr/>
            <w:r>
              <w:rPr/>
              <w:t xml:space="preserve">Развивающиеся рынки Азии привлекли $13,7 миллиарда, а Африка и страны Ближнего Востока - $3,6 миллиарда за счет рекордного притока иностранных инвестиций в ЮАР.</w:t>
            </w:r>
          </w:p>
          <w:p>
            <w:pPr/>
            <w:r>
              <w:rPr/>
              <w:t xml:space="preserve">По сообщению IIF, все это "позволяет предположить, что голосование за Brexit оказало ограниченное воздействие непосредственно на потоки активов на развивающихся рынках".</w:t>
            </w:r>
          </w:p>
          <w:p>
            <w:pPr>
              <w:jc w:val="end"/>
            </w:pPr>
            <w:r>
              <w:rPr/>
              <w:t xml:space="preserve">Источник: </w:t>
            </w:r>
            <w:hyperlink r:id="rId7" w:history="1">
              <w:r>
                <w:rPr/>
                <w:t xml:space="preserve">ru.reuters.com/article/businessNews/idRUKCN0ZG1HU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https://new.uzkimyosanoat.uz/ru/press/news/dvizhenie-kapitala-na-razvivayushchihsya-rynkah-ne-postradalo-posle-brexit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