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8 июня 2016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Доходности облигаций развитых стран на дне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</w:p>
          <w:p>
            <w:pPr/>
            <w:r>
              <w:rPr/>
              <w:t xml:space="preserve">Инвесторы по всему миру стараются избегать вложений в рисковые активы. Наибольшим спросом пользуются облигации развитых стран, что приводит к падению доходностей по ним. Факторов, которые нервируют инвесторов, на самом деле несколько. Во-первых, Федрезерв ведет себя очень непоследовательно, и в его действиях и заявлениях чувствуется какая-то нервозность. Регулятор и так себя в последнее время достаточно сильно дискредитировал, так что крупные деньги пока выбирают наиболее тихие гавани. Кроме того, абсолютно неизвестно, чем закончится референдум по выходу Великобритании из ЕС, а это событие, безусловно, окажет влияние на финансовые рынки, причем в случае положительного исхода на рынке вполне может начаться паника.</w:t>
            </w:r>
          </w:p>
          <w:p>
            <w:pPr/>
            <w:r>
              <w:rPr/>
              <w:t xml:space="preserve">На этом фоне Bloomberg's Developed World Bond Yield, то есть индикатор, отслеживающих доходность облигаций развитых стран, опустился до рекордного минимума в 62 базисных пункта.  Любопытно, что доходность облигаций уже давно движется в противоположную сторону от того, что напрогнозировали экономисты. Началось это все в 2011 г., когда Бен Бернанке в Джексон-Хоуле фактически объявил о скором запуске QE2.</w:t>
            </w:r>
          </w:p>
          <w:p>
            <w:pPr/>
            <w:r>
              <w:rPr/>
              <w:t xml:space="preserve">Кроме того, давление на доходности бондов оказывает монетарная политика крупнейших центробанков. Банк Японии и Европейский центральный банк проводят масштабные программы выкупа активов, а Федрезерв пока еще обещает повысить ставку, но в это уже почти никто не верит. Вероятность повышения ставки со стороны Федеральной резервной системы снизилась довольно сильно.    Еще в конце прошлого года эксперты, опрошенные Bloomberg, предсказывали, что доходность десятилетних трежерис к 30 июня будет находиться на отметке 2,55%, однако сейчас эти бумаги торгуются на уровне 1,73%.То есть всего за полгода ситуация кардинально поменялась.    А вот так выглядят ожидания трейдеров относительно повышения ставок ФРС: Видно, что веры в ужесточение монетарной политики практически нет, особенно после очень слабого отчета по рынку труда.</w:t>
            </w:r>
          </w:p>
          <w:p>
            <w:pPr>
              <w:jc w:val="end"/>
            </w:pPr>
            <w:r>
              <w:rPr/>
              <w:t xml:space="preserve">Источник: Вести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https://new.uzkimyosanoat.uz/ru/press/news/dohodnosti-obligaciy-razvityh-stran-na-dne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