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Доходность госбондов еврозоны вблизи минимумов начала июля после встречи G20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Доходность гособлигаций еврозоны в ходе торгов понедельника держится преимущественно вблизи минимумов, установленных после референдума о выходе Великобритании из ЕС, после того как крупнейшие экономики мира подтвердили свою решимость добиться укрепления экономического роста любыми средствами.</w:t>
            </w:r>
          </w:p>
          <w:p>
            <w:pPr/>
            <w:r>
              <w:rPr/>
              <w:t xml:space="preserve">Министры финансов и главы центральных банков стран G20 заявили по итогам встречи в выходные, что будут использовать все инструменты политики - "монетарной, фискальной и структурной", чтобы совместными усилиями поддержать рост мировой экономики.</w:t>
            </w:r>
          </w:p>
          <w:p>
            <w:pPr/>
            <w:r>
              <w:rPr/>
              <w:t xml:space="preserve">Встреча, в ходе которой основное внимание уделялось последствиям референдума о выходе Великобритании из ЕС, состоялась после того, как Европейский центробанк и Банк Англии вновь указали на возможность смягчения своих денежно-кредитных политик, и на фоне ожиданий того, что ФРС США оставит процентные ставки без изменений, а Банк Японии объявит о новых мерах смягчения на этой неделе.</w:t>
            </w:r>
          </w:p>
          <w:p>
            <w:pPr/>
            <w:r>
              <w:rPr/>
              <w:t xml:space="preserve">Доходность 10-летних гособлигаций Германии, являющихся эталонными для еврозоны, мало изменилась по сравнению с предыдущим днем, торгуясь вблизи минус 0,08 процента и недалеко от рекордного минимума - минус 0,20 процента, достигнутого в начале июля.</w:t>
            </w:r>
          </w:p>
          <w:p>
            <w:pPr/>
            <w:r>
              <w:rPr/>
              <w:t xml:space="preserve">Доходность эквивалентных гособлигаций Италии и Испании снизилась на 1 базисный пункт до 1,24 и 1,12 процента соответственно, держась всего на несколько пунктов выше многомесячных минимумов.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reuters.com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https://new.uzkimyosanoat.uz/ru/press/news/dohodnost-gosbondov-evrozony-vblizi-minimumov-nachala-iyulya-posle-vstrechi-g20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