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4 июля 2016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Центробанкам удалось успокоить рынки: за неделю после Brexit подорожали многие активы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Это может стать новой нормой для рынка, – говорит стратег BMO Capital Markets Аарон Коули. – Если залить рынки ликвидностью – а судя по всему, центробанки либо увеличат программы количественного смягчения, либо отложат повышение ставок, – то любые активы, кроме проблемных, будут показывать хорошие результаты» (цитата по Bloomberg).</w:t>
        </w:r>
      </w:p>
      <w:p>
        <w:pPr/>
        <w:r>
          <w:rPr/>
          <w:t xml:space="preserve">На следующий день после референдума управляющий Банка Англии Марк Карни пообещал банкам 250 млрд фунтов дополнительной ликвидности, а в прошлый четверг – снизить ставки летом. ЕЦБ готов увеличить программу стимулирования. Банк Японии впервые с 2014 г. помог долларовой ликвидностью местным банкам: 28 июня они получили $1,475 млрд недельных кредитов под 0,87% годовых. ФРС США, вероятно, не будет повышать ставки до конца года.</w:t>
        </w:r>
      </w:p>
      <w:p>
        <w:pPr/>
        <w:r>
          <w:rPr/>
          <w:t xml:space="preserve">В результате уже во вторник рынки пошли в рост. Для FTSE 100 прошлая неделя стала лучшей с 2011 г.: он прибавил 7,5% и закрылся на отметке 6577,83, превысив значение накануне референдума (6338,1). Панъевропейский Stoxx 600 вырос на 3,19%, Dow Jones – на 3,15%, S&P 500 – на 3,22%. «Отчасти это отражает, как много [свободной] ликвидности, которая ищет доходности, несмотря на неопределенность из-за Brexit, – отмечает портфельный управляющий Federated Investors Мэтью Кауфлер. – По всему миру центробанки увеличивают стимулирующие меры, и для финансовых активов это хорошо» (цитата по Bloomberg).</w:t>
        </w:r>
      </w:p>
      <w:p>
        <w:pPr/>
        <w:r>
          <w:rPr/>
          <w:t xml:space="preserve">Но это значит, что высоконадежные инструменты будут приносить все меньше дохода. В пятницу доходность 10-летних казначейских облигаций США опускалась до исторического минимума – 1,3784% годовых, а 30-летних – до 2,1873%. Все швейцарские гособлигации торгуются с отрицательной доходностью. Доходность 10-летних британских суверенных бондов снизилась до 0,78%. По оценке Fitch, отрицательную доходность имеют $11,7 трлн суверенных бондов. «Если уже по 30% госдолга отрицательная доходность, то приходится искать инструменты с положительной, – говорит главный экономический советник Allianz Мохамед эль-Эриан. – Доходность 10-летних казначейских бондов США может снизиться до 1,25%, если центробанки не снизят активность, а экономический рост в Европе будет замедляться».</w:t>
        </w:r>
      </w:p>
      <w:p>
        <w:pPr/>
        <w:r>
          <w:rPr/>
          <w:t xml:space="preserve">Brexit радикально изменил отношение к развивающимся рынкам, отстававшим в последние три года из-за замедления экономики Китая и разнообразных внутренних кризисов. За прошлую неделю индекс MSCI Emerging Markets вырос на 4,14%, индекс ММВБ – на 0,65%. Рубль подорожал на 1,6% к доллару и на 1,4% к евро.</w:t>
        </w:r>
      </w:p>
      <w:p>
        <w:pPr/>
        <w:r>
          <w:rPr/>
          <w:t xml:space="preserve">С начала года индекс MSCI Emerging Markets прибавил 5,7% по сравнению с 0,4%-ным снижением MSCI World. «Развивающиеся рынки продолжат показывать хорошие результаты, если только Китай чем-то сильно не напугает [инвесторов], – говорит портфельный управляющий NN Investment Partners Нейтан Гриффитс. – Прогноз их роста не самый выдающийся, но лучше, чем у развитых рынков».</w:t>
        </w:r>
      </w:p>
      <w:p>
        <w:pPr/>
        <w:r>
          <w:rPr/>
          <w:t xml:space="preserve">Долларовые корпоративные бонды развивающихся стран сейчас лучшие по соотношению риска и вознаграждения, показывают данные Bloomberg Riskless Returns. А по данным PwC, с января по середину июня российские корпоративные эмитенты разметили $4,9 млрд еврооблигаций, что сопоставимо с результатом всего 2015 года – $5,2 млрд. Только в июне «Евраз», НМЛК и «Совкомфлот» в совокупности разместили $2 млрд еврооблигаций.</w:t>
        </w:r>
      </w:p>
      <w:p>
        <w:pPr/>
        <w:r>
          <w:rPr/>
          <w:t xml:space="preserve">«Мы видим большой интерес к займам со стороны российских эмитентов и готовимся объявить о нескольких сделках до президентских выборов в США, в основном в сентябре», – отмечает Штефан Вайлер, начальник отдела долговых рынков стран EMEA JPMorgan. По данным «Интерфакса», Государственная транспортная лизинговая компания завтра начинает road show своих первых евробондов в Лондоне, Женеве, Цюрихе и Москве. Организаторы – JPMorgan, «Ренессанс капитал», UBS и «ВТБ капитал».</w:t>
        </w:r>
      </w:p>
      <w:p>
        <w:pPr/>
        <w:r>
          <w:rPr/>
          <w:t xml:space="preserve">По данным Bloomberg, средняя доходность российских корпоративных евробондов на прошлой неделе снижалась до 5,76%. Это минимум с октября 2013 г., когда США и ЕС еще не ввели санкции, закрывшие для некоторых крупных российских компаний выход на международные рынки капитала.</w:t>
        </w:r>
      </w:p>
      <w:p>
        <w:pPr>
          <w:jc w:val="end"/>
        </w:pPr>
        <w:r>
          <w:rPr/>
          <w:t xml:space="preserve">Источник: </w:t>
        </w:r>
        <w:hyperlink r:id="rId7" w:history="1">
          <w:r>
            <w:rPr/>
            <w:t xml:space="preserve">www.vedomosti.ru/finance/articles/2016/07/04/647758-tsentrobankam-udalos-uspokoit-rinki-nedelyu-posle-brexit-podorozhali-mnogie-aktivi</w:t>
          </w:r>
        </w:hyperlink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https://new.uzkimyosanoat.uz/ru/press/news/centrobankam-udalos-uspokoit-rynki-za-nedelyu-posle-brexit-podorozhali-mnogie-aktivy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