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Brexit стимулирует приток средств в активы развивающихся рынков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Приток средств в активы emerging markets на прошлой неделе достиг максимального уровня с сентября 2013 года. Как говорится в обзоре Института международных финансов (Institute of International Finance, IIF), приток усилился благодаря ожиданиям смягчения монетарной политики мировыми центробанками вслед за решением Великобритании о выходе из Евросоюза (Brexit).</w:t>
            </w:r>
          </w:p>
          <w:p>
            <w:pPr/>
            <w:r>
              <w:rPr/>
              <w:t xml:space="preserve">"Надежды на то, что мировые центробанки примут дальнейшие меры для стимулирования экономики вслед за Brexit, стали мощной поддержкой для фондовых и кредитных рынков", - цитирует обзор IIF агентство Bloomberg.</w:t>
            </w:r>
          </w:p>
          <w:p>
            <w:pPr/>
            <w:r>
              <w:rPr/>
              <w:t xml:space="preserve">Приток средств зарубежных инвесторов в активы семи emerging markets, отслеживаемых IIF, с момента британского референдума, прошедшего 23 июня, превысил $12 млрд, говорится в обзоре.</w:t>
            </w:r>
          </w:p>
          <w:p>
            <w:pPr/>
            <w:r>
              <w:rPr/>
              <w:t xml:space="preserve">На прошлой неделе приток средств стал максимальным с сентября 2013 года, когда Федеральная резервная система (ФРС) отложила сворачивание программы количественного смягчения (QE).</w:t>
            </w:r>
          </w:p>
          <w:p>
            <w:pPr/>
            <w:r>
              <w:rPr/>
              <w:t xml:space="preserve">Эксперты IIF полагают, что приток капитала в emerging markets продолжит увеличиваться, поскольку инвесторы ищут привлекательные инструменты в условиях снижения доходностей многих бумаг на развитых рынках до новых минимумов.</w:t>
            </w:r>
          </w:p>
          <w:p>
            <w:pPr/>
            <w:r>
              <w:rPr/>
              <w:t xml:space="preserve">Помешать этому может ужесточение политики ФРС, если оно произойдет раньше, чем ожидается, а также усиление опасений в отношении китайской экономики, говорится в обзоре.</w:t>
            </w:r>
          </w:p>
          <w:p>
            <w:pPr>
              <w:jc w:val="end"/>
            </w:pPr>
            <w:r>
              <w:rPr/>
              <w:t xml:space="preserve">Истчоник: </w:t>
            </w:r>
            <w:hyperlink r:id="rId7" w:history="1">
              <w:r>
                <w:rPr/>
                <w:t xml:space="preserve">www.finmarket.ru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https://new.uzkimyosanoat.uz/ru/press/news/brexit-stimuliruet-pritok-sredstv-v-aktivy-razvivayushchihsya-rynkov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