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8-ноября 2024 года.</w:t>
            </w:r>
          </w:p>
          <w:p>
            <w:pPr>
              <w:jc w:val="both"/>
            </w:pPr>
            <w:r>
              <w:rPr/>
              <w:t xml:space="preserve">На 8-ноября текущего года предприятиями системы АО «Узкимёсаноат» на открытых биржевых торгах Республиканской товарно-сырьевой биржи Узбекистана 4175,3 тонн на сумму 15 078,6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калий хлор, на которого приходится 28,4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8-ноября реализация других видов химической продукции составила 5623,7 млн сумов. Основную часть продаж, то есть 51,1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https://new.uzkimyosanoat.uz/ru/press/news/birja20241108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