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19 мая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19 мая</w:t>
      </w:r>
    </w:p>
    <w:bookmarkEnd w:id="0"/>
    <w:p w14:paraId="522BF26F" w14:textId="3F0F523B" w:rsidR="00A048F3" w:rsidRDefault="00A048F3">
      <w:pPr>
        <w:rPr>
          <w:sz w:val="28"/>
          <w:szCs w:val="28"/>
          <w:lang w:val="ru-RU"/>
        </w:rPr>
      </w:pPr>
    </w:p>
    <w:tbl>
      <w:tblGrid>
        <w:gridCol/>
      </w:tblGrid>
      <w:tr>
        <w:trPr/>
        <w:tc>
          <w:tcPr>
            <w:noWrap/>
          </w:tcPr>
          <w:p>
            <w:pPr>
              <w:jc w:val="center"/>
            </w:pPr>
            <w:r>
              <w:rPr/>
              <w:t xml:space="preserve"> </w:t>
            </w:r>
          </w:p>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19 мая 2022 года.</w:t>
            </w:r>
          </w:p>
          <w:p>
            <w:pPr/>
            <w:r>
              <w:rPr/>
              <w:t xml:space="preserve">На 19 мая текущего года предприятиями системы АО «Узкимёсаноат» на открытых биржевых торгах Республиканской товарно-сырьевой биржи Узбекистана реализовано 15987 тонн на сумму 45337,6 млн. сумов минеральных удобрений. Днем ранее этот показатель был выше, то есть 18 мая было реализовано 17751 тонн минеральных удобрений на сумму 51011,2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65,1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19 мая реализация других видов химической продукции составила 4177,8 млн. сумов. Днем ранее этот показатель был выше, то есть на 18 мая реализация других видов химической продукции составила 5232,6 млн. сумов. Основную часть продаж, то есть 60,9 процентов, составила реализация кальцинированная сода.</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r>
              <w:rPr/>
              <w:t xml:space="preserve"> </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https://new.uzkimyosanoat.uz/ru/press/news/birja20220519</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