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апреля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апреля 2022 года.</w:t>
            </w:r>
          </w:p>
          <w:p>
            <w:pPr/>
            <w:r>
              <w:rPr/>
              <w:t xml:space="preserve">На 8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13254 тонн на сумму 40390,3 млн. сумов минеральных удобрений. Днем ранее этот показатель был выше, то есть 7 апреля было реализовано 13548 тонн минеральных удобрений на сумму 40155,0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53,5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апреля реализация других видов химической продукции составила 6501,5 млн. сумов. Днем ранее этот показатель был выше, то есть на 7 апреля реализация других видов химической продукции составила 5488,8 млн. сумов. Основную часть продаж, то есть 86,5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https://new.uzkimyosanoat.uz/ru/press/news/birja20220408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