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31 марта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31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31 марта 2022 года.</w:t>
            </w:r>
          </w:p>
          <w:p>
            <w:pPr/>
            <w:r>
              <w:rPr/>
              <w:t xml:space="preserve">На 31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19336 тонн на сумму 60632,9 млн. сумов минеральных удобрений. Днем ранее этот показатель был ниже, то есть 30 марта было реализовано 18322 тонн минеральных удобрений на сумму 49020,3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51,6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31 марта реализация других видов химической продукции составила 4788,7 млн. сумов. Днем ранее этот показатель был выше, то есть на 30 марта реализация других видов химической продукции составила 6233,6 млн. сумов. Основную часть продаж, то есть 53,4 процентов, составила реализация азотная кислота.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https://new.uzkimyosanoat.uz/ru/press/news/birja20220331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