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марта 2022 года.</w:t>
            </w:r>
          </w:p>
          <w:p>
            <w:pPr/>
            <w:r>
              <w:rPr/>
              <w:t xml:space="preserve">На 25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19807 тонн на сумму 65272,3 млн. сумов минеральных удобрений. Днем ранее этот показатель был ниже, то есть 24 марта было реализовано 19611 тонн минеральных удобрений на сумму 64596,7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54,7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25 марта реализация других видов химической продукции составила 5861,7 млн. сумов. Днем ранее этот показатель был ниже, то есть на 24 марта реализация других видов химической продукции составила</w:t>
            </w:r>
            <w:br/>
            <w:r>
              <w:rPr/>
              <w:t xml:space="preserve">5532,9 млн. сумов. Основную часть продаж, то есть 65,6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w:t>
            </w:r>
            <w:hyperlink r:id="rId8" w:history="1">
              <w:r>
                <w:rPr/>
                <w:t xml:space="preserve"> 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