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ноября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26-27 ноября этого года в Филиале Российского химико-технологического университета имени Д.И. Менделеева в городе Ташкенте прошло очередное ежегодное заседание Комитета Международного союза по прикладной и теоретической химии (IUPAC)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 для развития Узбекистана, создаются всё больше производственных предприятий. Государство открывает широкие экономические и правовые возможности для предпринимательства, которые привлекают все большее внимание зарубежных партнеров - не только в сфере экономики и промышленности, но и в области науки и образования.</w:t>
            </w:r>
          </w:p>
          <w:p>
            <w:pPr/>
            <w:r>
              <w:rPr/>
              <w:t xml:space="preserve">В качестве наглядного доказательства Комитет М.С. по химии и промышленности </w:t>
            </w:r>
            <w:r>
              <w:rPr>
                <w:b w:val="1"/>
                <w:bCs w:val="1"/>
              </w:rPr>
              <w:t xml:space="preserve">«IUPAC»</w:t>
            </w:r>
            <w:r>
              <w:rPr/>
              <w:t xml:space="preserve">, которые ежегодно проводят совещания в разных странах, решили провести очередное собрание в этом году в </w:t>
            </w:r>
            <w:r>
              <w:rPr>
                <w:b w:val="1"/>
                <w:bCs w:val="1"/>
              </w:rPr>
              <w:t xml:space="preserve">Узбекистане</w:t>
            </w:r>
            <w:r>
              <w:rPr/>
              <w:t xml:space="preserve"> и, несомненно, в ближающем будущем хотят видеть </w:t>
            </w:r>
            <w:r>
              <w:rPr>
                <w:b w:val="1"/>
                <w:bCs w:val="1"/>
              </w:rPr>
              <w:t xml:space="preserve">Узбекистан</w:t>
            </w:r>
            <w:r>
              <w:rPr/>
              <w:t xml:space="preserve"> в своих рядах. </w:t>
            </w:r>
          </w:p>
          <w:p>
            <w:pPr/>
            <w:r>
              <w:rPr/>
              <w:t xml:space="preserve">На интенсивном заседании, которое длилось 2 дня, члены комитета рассказали об основных целях и задачах создания их деятельности </w:t>
            </w:r>
            <w:r>
              <w:rPr>
                <w:b w:val="1"/>
                <w:bCs w:val="1"/>
              </w:rPr>
              <w:t xml:space="preserve">«IUPAC»</w:t>
            </w:r>
            <w:r>
              <w:rPr/>
              <w:t xml:space="preserve">, планируемых стратегических целях, важной роли технической безопасности в промышленности, а также о программах, которые они реализуют в африканских и азиатских странах. </w:t>
            </w:r>
          </w:p>
          <w:p>
            <w:pPr/>
            <w:r>
              <w:rPr/>
              <w:t xml:space="preserve">В рамках обсуждения достижении целей </w:t>
            </w:r>
            <w:r>
              <w:rPr>
                <w:b w:val="1"/>
                <w:bCs w:val="1"/>
              </w:rPr>
              <w:t xml:space="preserve">Организации Объединенных Наций</w:t>
            </w:r>
            <w:r>
              <w:rPr/>
              <w:t xml:space="preserve"> в области устойчивого развития было подчеркнуто, что необходимо обратить внимание на кластерное обучение химии в школах, колледжах и технических учебных заведениях, привлечь внимание учащихся  к химии путем внедрения зеленой экономики и промышленности, а также привить им с юных лет навыки для получения профессии химика в будущем.</w:t>
            </w:r>
          </w:p>
          <w:p>
            <w:pPr/>
            <w:r>
              <w:rPr/>
              <w:t xml:space="preserve">Также были обсуждены финансовая отчетность комитета химической промышленности “</w:t>
            </w:r>
            <w:r>
              <w:rPr>
                <w:b w:val="1"/>
                <w:bCs w:val="1"/>
              </w:rPr>
              <w:t xml:space="preserve">COCI</w:t>
            </w:r>
            <w:r>
              <w:rPr/>
              <w:t xml:space="preserve">” за </w:t>
            </w:r>
            <w:r>
              <w:rPr>
                <w:b w:val="1"/>
                <w:bCs w:val="1"/>
              </w:rPr>
              <w:t xml:space="preserve">2022-2023 годы</w:t>
            </w:r>
            <w:r>
              <w:rPr/>
              <w:t xml:space="preserve">, дальнейшее привлечение молодежи и женщин в новых проектах </w:t>
            </w:r>
            <w:r>
              <w:rPr>
                <w:b w:val="1"/>
                <w:bCs w:val="1"/>
              </w:rPr>
              <w:t xml:space="preserve">«IUPAC»</w:t>
            </w:r>
            <w:r>
              <w:rPr/>
              <w:t xml:space="preserve">, а также планируемые новые проекты, в добавок были заслушаны предложения и комментарии членов </w:t>
            </w:r>
            <w:r>
              <w:rPr>
                <w:b w:val="1"/>
                <w:bCs w:val="1"/>
              </w:rPr>
              <w:t xml:space="preserve">“COCI”</w:t>
            </w:r>
            <w:r>
              <w:rPr/>
              <w:t xml:space="preserve">.</w:t>
            </w:r>
          </w:p>
          <w:p>
            <w:pPr/>
            <w:r>
              <w:rPr/>
              <w:t xml:space="preserve">В рамках годового отчета приняли участие члены </w:t>
            </w:r>
            <w:r>
              <w:rPr>
                <w:b w:val="1"/>
                <w:bCs w:val="1"/>
              </w:rPr>
              <w:t xml:space="preserve">Комитета доктор Анна Макарова, доктор Бипульбехари Саха, профессор Фабиан бензо Морейра, доктор Жан Пелин,</w:t>
            </w:r>
            <w:r>
              <w:rPr/>
              <w:t xml:space="preserve"> а также руководители и сотрудники акционерного общества </w:t>
            </w:r>
            <w:r>
              <w:rPr>
                <w:b w:val="1"/>
                <w:bCs w:val="1"/>
              </w:rPr>
              <w:t xml:space="preserve">«Узкимесаноат»</w:t>
            </w:r>
            <w:r>
              <w:rPr/>
              <w:t xml:space="preserve"> и предприятий отрасли </w:t>
            </w:r>
            <w:r>
              <w:rPr>
                <w:b w:val="1"/>
                <w:bCs w:val="1"/>
              </w:rPr>
              <w:t xml:space="preserve">Министерства инновационного развития Республики Узбекистан</w:t>
            </w:r>
            <w:r>
              <w:rPr/>
              <w:t xml:space="preserve">, </w:t>
            </w:r>
            <w:r>
              <w:rPr>
                <w:b w:val="1"/>
                <w:bCs w:val="1"/>
              </w:rPr>
              <w:t xml:space="preserve">Узбекского металлургического комбината, академии наук Республики Узбекистан, Ташкентского химико-технологического института.</w:t>
            </w:r>
          </w:p>
          <w:p>
            <w:pPr/>
            <w:r>
              <w:rPr/>
              <w:t xml:space="preserve">На встречах представителей образования и промышленности </w:t>
            </w:r>
            <w:r>
              <w:rPr>
                <w:b w:val="1"/>
                <w:bCs w:val="1"/>
              </w:rPr>
              <w:t xml:space="preserve">Республики Узбекистан</w:t>
            </w:r>
            <w:r>
              <w:rPr/>
              <w:t xml:space="preserve"> с членами </w:t>
            </w:r>
            <w:r>
              <w:rPr>
                <w:b w:val="1"/>
                <w:bCs w:val="1"/>
              </w:rPr>
              <w:t xml:space="preserve">«IUPAC»</w:t>
            </w:r>
            <w:r>
              <w:rPr/>
              <w:t xml:space="preserve"> были достигнуты предварительные договоренности о подготовке высококвалифицированных кадров и реализации совместных проектов в области химического производства. Установлено, что в разработке и реализации проектов будут принимать участие сотрудники и студенты филиала.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https://new.uzkimyosanoat.uz/ru/press/news/amaliy-va-nazariy-kimyo-boyicha-xalqaro-ittifoq-iupacning-navbatdagi-yillik-yigilishi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