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1 июля 2025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Государственная программа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 государственной программе, утвержденной Указом Президента Республики Узбекистан №ПФ–16 от 30 января 2025 года «О реализации стратегии “Узбекистан–2030” в Год охраны окружающей среды и “зелёной” экономики», для АО «Узкимёсаноат» предусмотрен ряд задач.</w:t>
        </w:r>
      </w:p>
      <w:p>
        <w:pPr/>
        <w:r>
          <w:rPr/>
          <w:t xml:space="preserve">Информация по задачам, возложенным на АО «Узкимёсаноат» в рамках исполнения Указа ПФ–16</w:t>
        </w:r>
      </w:p>
      <w:p>
        <w:pPr/>
        <w:r>
          <w:rPr/>
          <w:t xml:space="preserve">Предприятия отрасли АО «Узкимёсаноат» (АО «Навоийазот», АО «Махам-Чирчик» и АО «Ферганаазот») провели первичный учёт (инвентаризацию) образования парниковых газов (место, объём) и выполнили расчёты на основе временного руководства (формула, основанная на показателях ПРООН).</w:t>
        </w:r>
      </w:p>
      <w:p>
        <w:pPr/>
        <w:r>
          <w:rPr/>
          <w:t xml:space="preserve">Согласно первичной инвентаризации:</w:t>
        </w:r>
      </w:p>
      <w:p>
        <w:pPr/>
        <w:r>
          <w:rPr/>
          <w:t xml:space="preserve">• в АО «Навоийазот» в 2024 году — 655 тыс. тонн (в эквиваленте CO₂);</w:t>
        </w:r>
      </w:p>
      <w:p>
        <w:pPr/>
        <w:r>
          <w:rPr/>
          <w:t xml:space="preserve">• в АО «Maxam-Chirchiq» в 2024 году — 2,07 млн тонн (в эквиваленте CO₂);</w:t>
        </w:r>
      </w:p>
      <w:p>
        <w:pPr/>
        <w:r>
          <w:rPr/>
          <w:t xml:space="preserve">• в АО «Ферганаазот» в 2024 году — 500 тыс. тонн (в эквиваленте SO₂) выбросов парниковых газов.</w:t>
        </w:r>
      </w:p>
      <w:p>
        <w:pPr/>
        <w:r>
          <w:rPr/>
          <w:t xml:space="preserve">На следующих этапах для этих предприятий разрабатываются временные критерии (методика, формулы) расчёта парниковых газов. До утверждения единого (национального или международного) руководства расчёты будут продолжаться по временной методике.</w:t>
        </w:r>
      </w:p>
      <w:p>
        <w:pPr/>
        <w:r>
          <w:rPr/>
          <w:t xml:space="preserve">Кроме того, совместно с Центром проектов зелёной экономики при Министерстве экономики и финансов и Гидрометеорологическим центром при Министерстве экологии, охраны окружающей среды и изменения климата разрабатывается единое (национальное или международное) руководство (методика) по определению, расчёту и инвентаризации парниковых газов.</w:t>
        </w:r>
      </w:p>
      <w:p>
        <w:pPr/>
        <w:r>
          <w:rPr/>
          <w:t xml:space="preserve">Дополнительно ведутся переговоры и изучения с вышеуказанными министерствами по внедрению системы CVAM.</w:t>
        </w:r>
      </w:p>
      <w:p>
        <w:pPr/>
        <w:r>
          <w:rPr/>
          <w:t xml:space="preserve">Информация о дополнительно выполненных работах</w:t>
        </w:r>
      </w:p>
      <w:p>
        <w:pPr/>
        <w:r>
          <w:rPr/>
          <w:t xml:space="preserve">17 февраля текущего года компания S&P Global присвоила международный ESG-рейтинг.</w:t>
        </w:r>
      </w:p>
      <w:p>
        <w:pPr/>
        <w:r>
          <w:rPr/>
          <w:t xml:space="preserve">Кроме того, в рамках исполнения данного Указа АО «Maxam-Chirchiq», АО «Навоийазот» и АО «Дехканабадский калийный завод» приняли активное участие в международной выставке экологических технологий “Eco Expo Central Asia-2025”, прошедшей в выставочном комплексе CAEx.</w:t>
        </w:r>
      </w:p>
      <w:p>
        <w:pPr/>
        <w:r>
          <w:rPr/>
          <w:t xml:space="preserve">На выставке были представлены передовые “зелёные” технологии, лучшие решения в области управления отходами, водосбережения и возобновляемой энергетики.</w:t>
        </w:r>
      </w:p>
      <w:p>
        <w:pPr/>
        <w:r>
          <w:rPr/>
          <w:t xml:space="preserve">В мероприятии, организованном в рамках Года охраны окружающей среды и “зелёной” экономики, АО «Maxam-Chirchiq», АО «Навоийазот» и АО «Дехканабадский калийный завод» представили свои презентации и продукцию, направленные на охрану окружающей среды и снижение воздействия на экологию.</w:t>
        </w:r>
      </w:p>
      <w:p>
        <w:pPr/>
        <w:r>
          <w:rPr/>
          <w:t xml:space="preserve">Общенациональный проект “Зелёное пространство – 2025”</w:t>
        </w:r>
      </w:p>
      <w:p>
        <w:pPr/>
        <w:r>
          <w:rPr/>
          <w:t xml:space="preserve">В 2025 году планируется посадка 500 тысяч декоративных и плодовых деревьев и кустарников на площади 200 гектаров.</w:t>
        </w:r>
      </w:p>
      <w:p>
        <w:pPr/>
        <w:r>
          <w:rPr/>
          <w:t xml:space="preserve">На сегодняшний день в весенний сезон на предприятиях отрасли на площади 30 гектаров было высажено в общей сложности 491,6 тысячи саженцев, из них 367 тысяч — на территории предприятий, и ещё 124,6 тысячи — образцово высажены во дворах руководителей и сотрудников. Более чем на 5 гектарах созданы “зелёные пояса”. По обеим сторонам крупных автомобильных дорог высажено по 10 рядов декоративных деревьев, внедрена система капельного орошения.</w:t>
        </w:r>
      </w:p>
      <w:p>
        <w:pPr/>
        <w:r>
          <w:rPr/>
          <w:t xml:space="preserve">Для ухода за посаженными деревьями и обеспечения их роста на предприятиях назначены ответственные лица, и саженцы обеспечиваются системой капельного полива.</w:t>
        </w:r>
      </w:p>
      <w:p>
        <w:pPr/>
        <w:r>
          <w:rPr/>
          <w:t xml:space="preserve">По инвестиционному направлению</w:t>
        </w:r>
      </w:p>
      <w:p>
        <w:pPr/>
        <w:r>
          <w:rPr/>
          <w:t xml:space="preserve">АО «Навоийазот» реализует проект строительства фотоэлектрической станции мощностью 300 МВт для технологических кластеров.</w:t>
        </w:r>
      </w:p>
      <w:p>
        <w:pPr/>
        <w:r>
          <w:rPr/>
          <w:t xml:space="preserve">В январе 2024 года в рамках визита Президента Республики Узбекистан в Китайскую Народную Республику было подписано соответствующее соглашение с китайской компанией Sinoma о реализации данного проекта. В рамках проекта создана специальная техническая рабочая группа, и 3 мая 2024 года в рамках III Международного инвестиционного форума в Ташкенте состоялась церемония подписания договора PPA (о покупке электроэнергии). В ноябре 2024 года было подписано инвестиционное соглашение между инвестором и Министерством инвестиций, промышленности и торговли.</w:t>
        </w:r>
      </w:p>
      <w:p>
        <w:pPr/>
        <w:r>
          <w:rPr/>
          <w:t xml:space="preserve">На сегодняшний день для реализации проекта выделены земельные участки в Карманинском районе Навоийской области, и строительные работы уже начаты.</w:t>
        </w:r>
      </w:p>
      <w:p>
        <w:pPr/>
        <w:r>
          <w:rPr/>
          <w:t xml:space="preserve">Проект по строительству ветроэлектростанции мощностью 52 МВт и производству 3000 тонн “зелёного” водорода в год реализуется ООО СП “Acwa Power UKS Green H2”.</w:t>
        </w:r>
      </w:p>
      <w:p>
        <w:pPr/>
        <w:r>
          <w:rPr/>
          <w:t xml:space="preserve">В декабре 2022 года было создано совместное предприятие (80% – “Acwa Power”, 20% – АО “Узкимёсаноат”). В ноябре 2023 года с иностранным партнёром были подписаны контракты: на покупку электроэнергии (PPA), водорода (HPA), а также на электроснабжение (ESA). В апреле 2024 года заключен договор аренды земельного участка (LLA).</w:t>
        </w:r>
      </w:p>
      <w:p>
        <w:pPr/>
        <w:r>
          <w:rPr/>
          <w:t xml:space="preserve">Генподрядчик Power China Huadong Engineering Corporation Limited (Китай) завершает строительные работы. Установлены основные технологические установки – электролизёры мощностью 20 МВт.</w:t>
        </w:r>
      </w:p>
      <w:p>
        <w:pPr/>
        <w:r>
          <w:rPr/>
          <w:t xml:space="preserve">Стоимость проекта составляет 88 млн долларов. 25 июня 2024 года Европейский банк реконструкции и развития (ЕБРР) одобрил предоставление проектного финансирования (Senior Loan) и выделение кредита на сумму 60 млн долларов.</w:t>
        </w:r>
      </w:p>
      <w:p>
        <w:pPr/>
        <w:r>
          <w:rPr/>
          <w:t xml:space="preserve">Проект реализуется совместно с АО “Узкимёсаноат” и энергетической компанией Саудовской Аравии “ACWA Power” на базе СП “ACWA Power UKS Green H2”. В рамках проекта ежегодно будет производиться более 3000 тонн зелёного водорода, который перерабатывается в минеральные удобрения.</w:t>
        </w:r>
      </w:p>
      <w:p>
        <w:pPr/>
        <w:r>
          <w:rPr/>
          <w:t xml:space="preserve">Кроме того, председатель правления международной энергетической компании ACWA Power, Мухаммад Абунайян, посетил предприятие по производству зелёного водорода в городе Чирчик Ташкентской области.</w:t>
        </w:r>
      </w:p>
      <w:p>
        <w:pPr/>
        <w:r>
          <w:rPr/>
          <w:t xml:space="preserve">Особо стоит отметить, что в процессе производства зелёного водорода не выделяются вредные выбросы в окружающую среду, снижается использование ископаемого топлива, такого как нефть и природный газ, что позволяет значительно сэкономить ресурсы. Это способствует достижению целей, поставленных на Год охраны окружающей среды и развития “зелёной” экономики.</w:t>
        </w:r>
      </w:p>
      <w:p>
        <w:pPr/>
        <w:r>
          <w:rPr/>
          <w:t xml:space="preserve">Также следует подчеркнуть, что с запуском этого проекта Узбекистан стал 7-й страной в мире и 1-й среди стран СНГ, производящей зелёный водород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https://new.uzkimyosanoat.uz/ru/documents/davlat-dasturi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