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частичном изменении организационной структуры ГАК "Узкимёсаноат"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Постановление Кабинета Министров Республики Узбекистан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31.03.2004 г.</w:t>
            </w:r>
            <w:r>
              <w:rPr>
                <w:b w:val="1"/>
                <w:bCs w:val="1"/>
              </w:rPr>
              <w:t xml:space="preserve"> №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В целях проведения единой технической политики на предприятиях химической промышленности республики, организации производства высококачественных, конкурентоспособных минеральных удобрений и химических средств защиты растений Кабинет Министров </w:t>
            </w:r>
            <w:r>
              <w:rPr>
                <w:b w:val="1"/>
                <w:bCs w:val="1"/>
              </w:rPr>
              <w:t xml:space="preserve">ПОСТАНОВЛЯЕТ:</w:t>
            </w:r>
          </w:p>
          <w:p>
            <w:pPr/>
            <w:r>
              <w:rPr/>
              <w:t xml:space="preserve">1. Включить СП-АО "Электрохимзавод" (г. Навои) в состав предприятий, входящих в ГАК "Узкимёсаноат".</w:t>
            </w:r>
          </w:p>
          <w:p>
            <w:pPr/>
            <w:r>
              <w:rPr/>
              <w:t xml:space="preserve">2. Внести изменения в организационную структуру ГАК "Узкимёсаноат" согласно приложению.</w:t>
            </w:r>
          </w:p>
          <w:p>
            <w:pPr/>
            <w:r>
              <w:rPr/>
              <w:t xml:space="preserve">3. Признать утратившим силу приложение N 1 к постановлению Кабинета Министров от 23 января 2004 года N 33 "О совершенствовании структуры управления предприятиями химической промышленности и мерах по улучшению агрохимического обслуживания сельского хозяйства".</w:t>
            </w:r>
          </w:p>
          <w:p>
            <w:pPr/>
            <w:r>
              <w:rPr/>
              <w:t xml:space="preserve">4. Контроль за выполнением настоящего Постановления возложить на заместителя Премьер-министра Республики Узбекистан У.Т. Султанова.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И. Каримов</w:t>
            </w:r>
          </w:p>
          <w:p>
            <w:pPr/>
            <w:r>
              <w:rPr/>
              <w:t xml:space="preserve">Председатель Кабинета Министров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ПРИЛОЖЕНИЕ к Постановлению КМ РУз от 31.03.2004 г. N 154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https://new.uzkimyosanoat.uz/ru/documents/cabinets/o-chastichnom-izmenenii-organizacionnoy-struktury-gak-uzkimyosanoat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