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января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Структура акционерного капитала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Владельцы акций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Доля в акционерном капитале,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Министерство экономики и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42,91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Фонд Реконструкции и развития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57,09</w:t>
                  </w:r>
                </w:p>
              </w:tc>
            </w:tr>
          </w:tbl>
          <w:p>
            <w:pPr>
              <w:jc w:val="center"/>
            </w:pPr>
            <w:r>
              <w:rPr>
                <w:b w:val="1"/>
                <w:bCs w:val="1"/>
              </w:rPr>
              <w:t xml:space="preserve">Основные сведения об акциях АО «Узкимёсаноат»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Тип акций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простые именные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Форма акций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бездокументарные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Количество акций (штук)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2 927 710 704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Номинальная стоимость одной акции (сум)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1 145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Общий объем выпуска (сум)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3 352 228 756 080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https://new.uzkimyosanoat.uz/ru/corporate/equity-structure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