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об информационной политике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Настоящее Положение об информационной политике разработано в соответствии с законами Республики Узбекистан «Об акционерных обществах и защите прав акционеров», «О рынке ценных бумаг», постановлениями Кабинета Министров Республики Узбекистан от 02.07.2014г. № 176 «О мерах по дальнейшему совершенствованию системы корпоративного управления в акционерных обществах», от 31.12.2013г. №355 «О мерах по внедрению системы оценки состояния развития информационно-коммуникационных технологий в Республике Узбекистан», Правилами предоставления и публикации информации на рынке ценных бумаг (per. № 2383 от 31.07.2012г.), рекомендациями Кодекса корпоративного управления и Правил корпоративного управления для предприятий с государственным участием, утвержденных протоколами заседаний Комиссии по повышению эффективности деятельности акционерных обществ и совершенствованию системы корпоративного управления (от 11.02.2016г. № 02-02/1-187 и от 27.04.2018г. № 24/1-989) и уставом акционерного общества «Узкимёсаноат» (далее - Общество).</w:t>
            </w:r>
          </w:p>
          <w:p>
            <w:pPr/>
            <w:hyperlink r:id="rId7" w:history="1">
              <w:r>
                <w:rPr/>
                <w:t xml:space="preserve">Скачать текст документа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https://new.uzkimyosanoat.uz/ru/corporate/documents/info-policy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