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11 сентября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Предлагаемое распределение чистой прибыли за 2019 год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end"/>
            </w:pPr>
            <w:r>
              <w:rPr>
                <w:b w:val="1"/>
                <w:bCs w:val="1"/>
                <w:i w:val="1"/>
                <w:iCs w:val="1"/>
              </w:rPr>
              <w:t xml:space="preserve">За 2019 год</w:t>
            </w:r>
          </w:p>
          <w:tbl>
            <w:tblGrid>
              <w:gridCol/>
              <w:gridCol/>
              <w:gridCol/>
              <w:gridCol w:w="1000" w:type="dxa"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№ п/п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Наименование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Процент</w:t>
                  </w:r>
                </w:p>
              </w:tc>
              <w:tc>
                <w:tcPr>
                  <w:tcW w:w="1000" w:type="pct"/>
                  <w:noWrap/>
                </w:tcPr>
                <w:p>
                  <w:pPr/>
                  <w:r>
                    <w:rPr/>
                    <w:t xml:space="preserve">Сумма (тыс. сум)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Чистая прибыль всего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25 346 152,9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резервный фонд общества (согласно статье 32 Закона Республики Узбекистан «Об акционерных обществах и защите прав акционеров»)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1 267 307,7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Фонд поддержки инновационной деятельности (согласно постановлениям Кабинета Министров Республики Узбекистан от 12.01.2018 года №24 и от 12.03.2018 года №195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2 534 615,3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 Фонд охраны труда (согласно постановлению Кабинета Министров Республики Узбекистан от 12.11.2008г №245 и Положению о Фонде)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253 461,5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 развитие общества с капитализацией в уставный фонд АО «Узкимёсаноат» и последующим целевым использованием на финансирование инвестиционного проекта "Организация производства аммиака и карбамида в г. Янгиер"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8 617 692,0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 дивиденды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12 673 076,4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https://new.uzkimyosanoat.uz/ru/corporate/disclosure/profit/p2019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