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21.04.2026 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https://new.uzkimyosanoat.uz/ru/corporate/disclosure/facts/resheniya-prinyatye-vysshim-organom-upravleniya-emitenta-v-t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