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30 апреля 2026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21.04.2026 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https://new.uzkimyosanoat.uz/ru/corporate/disclosure/facts/resheniya-prinyatye-vysshim-organom-upravleniya-emitenta-v-t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