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ноября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 36 - 30.10.2017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2400" w:type="dxa"/>
              <w:gridCol w:w="3700" w:type="dxa"/>
              <w:gridCol w:w="300" w:type="dxa"/>
              <w:gridCol w:w="3800" w:type="dxa"/>
              <w:gridCol w:w="4200" w:type="dxa"/>
              <w:gridCol w:w="700" w:type="dxa"/>
            </w:tblGrid>
            <w:tblPr>
              <w:tblW w:w="46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						</w:t>
                  </w:r>
                </w:p>
              </w:tc>
              <w:tc>
                <w:tcPr>
                  <w:tcW w:w="26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Полное: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6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Сокращенное: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6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биржевого тикера: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6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Нет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6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Местонахождение: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6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Почтовый адрес: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6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Адрес электронной почты: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6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Официальный веб-сайт: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6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hyperlink r:id="rId7" w:history="1">
                    <w:r>
                      <w:rPr/>
                      <w:t xml:space="preserve">www.uzkimyosanoat.uz</w:t>
                    </w:r>
                  </w:hyperlink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6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Номер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8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36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8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Изменения в списке аффилированных лиц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Местонахождение (место жительство) (почтовый адрес) аффилированного лица (государство, область, город, район)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Количества ценных бумаг (размер доли, паев)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Вид ценных бумаг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Тип события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Ёркин Эргашович Турсунов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6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Дата внесения эмитентом соответствующего изменения в список аффилированных лиц: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6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Список аффилированных лиц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Местонахождение (место жительство), (государство, область, город, район)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Основание, по которому они признаются аффилированными лицами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Дата (наступления основания (-ий)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Ибрагимов Г.И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Аминов Р.А.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Давлетов Р.К.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31.08.2017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Атабаев Ш.Х.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31.08.2017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Асамов Д.Д.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Турсунов Ё.Э.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Мирсоатов А.К.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Наблюдательного совета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Абдуллаев Абдухашим Абдуллаевич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Председатель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Пак Дмитрий Геннадьевич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Холияров Юсуфали Дускораевич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Набиев Ш.Р.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Центр по управлению государственными активам»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пр. Ислама Каримова, 55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Юридическое лицо, которое обладает 100% акций общества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11.06.2013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«Навоиазот»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Навоиская область</w:t>
                  </w:r>
                  <w:br/>
                  <w:r>
                    <w:rPr/>
                    <w:t xml:space="preserve">			г. Навои ул. Навои, 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 и более процентов уставного фонда обладает АО «Узкимёсаноат»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 и более процентов уставного фонда обладает АО «Узкимёсаноат»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«Фаргонаазот»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«Максам-Чирчик»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«Аммофос-Максам»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«Самаркандкимё»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Самаркандская область</w:t>
                  </w:r>
                  <w:br/>
                  <w:r>
                    <w:rPr/>
                    <w:t xml:space="preserve">			г. Самарканд, городок химиков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«Жиззах пластмасса»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«Коканд суперфосфат заводи»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АО «Электрохимзавод»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Навоиская область</w:t>
                  </w:r>
                  <w:br/>
                  <w:r>
                    <w:rPr/>
                    <w:t xml:space="preserve">			г. Навои, ул. А.Темура, 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«Узкимёсаноатлойиха»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ООО «Кимётранс»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«Hamkor-Kimyoservis»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ООО «Osiyo tehno proekt injiniring»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21.12.2009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«Кимёгартаомчи»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«Kimyotrans-Logistik»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УП «Дехканабадский завод калийных удобрений»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27.10.2011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УП «Кунградский содовый завод»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РК, Кунградский р-н, пос.Елебат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23.01.2004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УП «Навбахор УОТБ»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область, Фуркатский р-н,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ул. Вокзал Олди, 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12.06.2012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УП «Фуркат УОТБ»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область, г. Багдад,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ул. Дустлик, 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12.06.2012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«Фаргонанефтекимёмонтаж»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область, г. Фергана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ул. Саккокий, дом 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14.02.2014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«Кимёсавдотаъминот»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  Катта Дархан, 25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13.01.2014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Торговый дом «UZCHEM» в ОАЭ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Объединённые Арабские Эмираты,</w:t>
                  </w:r>
                  <w:br/>
                  <w:r>
                    <w:rPr/>
                    <w:t xml:space="preserve">			Шарджа, а/я 8000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12.10.2015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Республика Казахстан,</w:t>
                  </w:r>
                  <w:br/>
                  <w:r>
                    <w:rPr/>
                    <w:t xml:space="preserve">			г. Шымкент, ул. Стадион дом 5 кв. 47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22.02.2017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Председатель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Абдуллаев Абдухашим Абдуллаевич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Главный бухгалтер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Халилов Улугбек Исраилович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 w:w="4425" w:type="dxa"/>
                    <w:gridCol w:w="5610" w:type="dxa"/>
                  </w:tblGrid>
                  <w:tblPr>
                    <w:tblW w:w="10035" w:type="dxa"/>
                    <w:tblCellSpacing w:w="0" w:type="dxa"/>
                    <w:tblLayout w:type="autofit"/>
                    <w:tblBorders>
                      <w:top w:val="single" w:sz="0"/>
                      <w:left w:val="single" w:sz="0"/>
                      <w:right w:val="single" w:sz="0"/>
                      <w:bottom w:val="single" w:sz="0"/>
                      <w:insideH w:val="single" w:sz="0"/>
                      <w:insideV w:val="single" w:sz="0"/>
                    </w:tblBorders>
                  </w:tblPr>
                  <w:tr>
                    <w:trPr/>
                    <w:tc>
                      <w:tcPr>
                        <w:tcW w:w="4425" w:type="dxa"/>
                        <w:noWrap/>
                      </w:tcPr>
                      <w:p>
                        <w:pPr/>
                        <w:r>
                          <w:rPr/>
                          <w:t xml:space="preserve">						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/>
                          <w:t xml:space="preserve">						</w:t>
                        </w:r>
                      </w:p>
                    </w:tc>
                    <w:tc>
                      <w:tcPr>
                        <w:tcW w:w="5610" w:type="dxa"/>
                        <w:noWrap/>
                      </w:tcPr>
                      <w:p>
                        <w:pPr/>
                        <w:r>
                          <w:rPr/>
                          <w:t xml:space="preserve">						</w:t>
                        </w:r>
                      </w:p>
                      <w:p>
                        <w:pPr/>
                        <w:r>
                          <w:rPr/>
                          <w:t xml:space="preserve">                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    Халилов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Улугбек Исраилович</w:t>
                        </w:r>
                      </w:p>
                      <w:p>
                        <w:pPr/>
                        <w:r>
                          <w:rPr/>
                          <w:t xml:space="preserve">						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 w:w="4425" w:type="dxa"/>
                    <w:gridCol w:w="5745" w:type="dxa"/>
                  </w:tblGrid>
                  <w:tblPr>
                    <w:tblW w:w="0" w:type="auto"/>
                    <w:tblCellSpacing w:w="0" w:type="dxa"/>
                    <w:tblLayout w:type="autofit"/>
                    <w:tblBorders>
                      <w:top w:val="single" w:sz="0"/>
                      <w:left w:val="single" w:sz="0"/>
                      <w:right w:val="single" w:sz="0"/>
                      <w:bottom w:val="single" w:sz="0"/>
                      <w:insideH w:val="single" w:sz="0"/>
                      <w:insideV w:val="single" w:sz="0"/>
                    </w:tblBorders>
                  </w:tblPr>
                  <w:tr>
                    <w:trPr/>
                    <w:tc>
                      <w:tcPr>
                        <w:tcW w:w="4425" w:type="dxa"/>
                        <w:noWrap/>
                      </w:tcPr>
                      <w:p>
                        <w:pPr/>
                        <w:r>
                          <w:rPr/>
                          <w:t xml:space="preserve">						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Уполномоченное лицо, разместившее </w:t>
                        </w:r>
                      </w:p>
                      <w:p>
                        <w:pPr/>
                        <w:r>
                          <w:rPr/>
                          <w:t xml:space="preserve">						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информацию на веб-сайте: </w:t>
                        </w:r>
                      </w:p>
                      <w:p>
                        <w:pPr/>
                        <w:r>
                          <w:rPr/>
                          <w:t xml:space="preserve">						</w:t>
                        </w:r>
                      </w:p>
                    </w:tc>
                    <w:tc>
                      <w:tcPr>
                        <w:tcW w:w="5745" w:type="dxa"/>
                        <w:noWrap/>
                      </w:tcPr>
                      <w:p>
                        <w:pPr/>
                        <w:r>
                          <w:rPr/>
                          <w:t xml:space="preserve">						</w:t>
                        </w:r>
                      </w:p>
                      <w:p>
                        <w:pPr/>
                        <w:r>
                          <w:rPr/>
                          <w:t xml:space="preserve">                   </w:t>
                        </w:r>
                      </w:p>
                      <w:p>
                        <w:pPr/>
                        <w:r>
                          <w:rPr/>
                          <w:t xml:space="preserve">						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                    Абдуразаков Алишер Алимджанович</w:t>
                        </w:r>
                      </w:p>
                      <w:p>
                        <w:pPr/>
                        <w:r>
                          <w:rPr/>
                          <w:t xml:space="preserve">						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Абдуразаков Алишер Алимджанович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7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7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https://new.uzkimyosanoat.uz/ru/corporate/disclosure/facts/informaciya-o-sushchestvennom-fakte-36-30-10-2017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