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3"/>
                  </w:pPr>
                  <w:r>
                    <w:rPr/>
                    <w:t xml:space="preserve">1</w:t>
                  </w:r>
                  <w:r>
                    <w:rPr>
                      <w:i w:val="1"/>
                      <w:iCs w:val="1"/>
                    </w:rPr>
                    <w:t xml:space="preserve">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  <w:hyperlink r:id="rId8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3"/>
                  <w:noWrap/>
                </w:tcPr>
                <w:p>
                  <w:pPr/>
                  <w:hyperlink r:id="rId9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6"/>
                  <w:noWrap/>
                </w:tcPr>
                <w:p>
                  <w:pPr/>
                  <w:r>
                    <w:rPr/>
                    <w:t xml:space="preserve">Избрать в состав наблюдательного совета АО "O'zkimyosanoat" Ёркина Эргашовича Турсунова- заместитель министра финонсов Республики Узбекистан</w:t>
                  </w:r>
                </w:p>
              </w:tc>
            </w:tr>
            <w:tr>
              <w:trPr/>
              <w:tc>
                <w:tcPr>
                  <w:gridSpan w:val="1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  <w:hyperlink r:id="rId10" w:history="1">
                    <w:r>
                      <w:rPr>
                        <w:b w:val="1"/>
                        <w:bCs w:val="1"/>
                      </w:rPr>
                      <w:t xml:space="preserve">***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</w:tr>
            <w:tr>
              <w:trPr/>
              <w:tc>
                <w:tcPr>
                  <w:gridSpan w:val="17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Ёркин Эргашович Турсунов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финонсов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380 324 406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</w:t>
                  </w:r>
                  <w:hyperlink r:id="rId11" w:history="1">
                    <w:r>
                      <w:rPr/>
                      <w:t xml:space="preserve">устав</w:t>
                    </w:r>
                  </w:hyperlink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</w:tbl>
          <w:p>
            <w:pPr/>
            <w:r>
              <w:rPr/>
              <w:t xml:space="preserve">Председатель Правления -  Абдуллаев Абдухашим Абдуллаевич</w:t>
            </w:r>
          </w:p>
          <w:p>
            <w:pPr/>
            <w:r>
              <w:rPr/>
              <w:t xml:space="preserve">Главный бухгалтер - Халилов Улугбек Исраилович</w:t>
            </w:r>
          </w:p>
          <w:p>
            <w:pPr/>
            <w:r>
              <w:rPr/>
              <w:t xml:space="preserve">Уполномоченное лицо, разместившее информацию на веб-сайте -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https://new.uzkimyosanoat.uz/ru/corporate/disclosure/facts/informaciya-o-sushchestvennom-fakte-06-30102017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